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BF04" w14:textId="77777777" w:rsidR="004B5BEA" w:rsidRPr="00A4397D" w:rsidRDefault="004B5BEA" w:rsidP="004B5BEA">
      <w:pPr>
        <w:jc w:val="right"/>
        <w:rPr>
          <w:sz w:val="20"/>
          <w:szCs w:val="20"/>
        </w:rPr>
      </w:pPr>
      <w:r w:rsidRPr="00A4397D">
        <w:rPr>
          <w:sz w:val="20"/>
          <w:szCs w:val="20"/>
        </w:rPr>
        <w:t xml:space="preserve">Приложение №3 </w:t>
      </w:r>
    </w:p>
    <w:p w14:paraId="5F52C834" w14:textId="77777777" w:rsidR="004B5BEA" w:rsidRPr="00A4397D" w:rsidRDefault="004B5BEA" w:rsidP="004B5BEA">
      <w:pPr>
        <w:jc w:val="right"/>
        <w:rPr>
          <w:sz w:val="20"/>
          <w:szCs w:val="20"/>
        </w:rPr>
      </w:pPr>
      <w:r w:rsidRPr="00A4397D">
        <w:rPr>
          <w:sz w:val="20"/>
          <w:szCs w:val="20"/>
        </w:rPr>
        <w:t xml:space="preserve">к протоколу Тарифного комитета </w:t>
      </w:r>
    </w:p>
    <w:p w14:paraId="05D7653C" w14:textId="77777777" w:rsidR="004B5BEA" w:rsidRPr="00A4397D" w:rsidRDefault="004B5BEA" w:rsidP="004B5BEA">
      <w:pPr>
        <w:jc w:val="right"/>
        <w:rPr>
          <w:sz w:val="20"/>
          <w:szCs w:val="20"/>
        </w:rPr>
      </w:pPr>
      <w:r w:rsidRPr="00A4397D">
        <w:rPr>
          <w:sz w:val="20"/>
          <w:szCs w:val="20"/>
        </w:rPr>
        <w:t>АО «</w:t>
      </w:r>
      <w:proofErr w:type="spellStart"/>
      <w:r w:rsidRPr="00A4397D">
        <w:rPr>
          <w:sz w:val="20"/>
          <w:szCs w:val="20"/>
          <w:lang w:val="en-US"/>
        </w:rPr>
        <w:t>SkyBridge</w:t>
      </w:r>
      <w:proofErr w:type="spellEnd"/>
      <w:r w:rsidRPr="00A4397D">
        <w:rPr>
          <w:sz w:val="20"/>
          <w:szCs w:val="20"/>
        </w:rPr>
        <w:t xml:space="preserve"> </w:t>
      </w:r>
      <w:r w:rsidRPr="00A4397D">
        <w:rPr>
          <w:sz w:val="20"/>
          <w:szCs w:val="20"/>
          <w:lang w:val="en-US"/>
        </w:rPr>
        <w:t>Invest</w:t>
      </w:r>
      <w:r w:rsidRPr="00A4397D">
        <w:rPr>
          <w:sz w:val="20"/>
          <w:szCs w:val="20"/>
        </w:rPr>
        <w:t>»</w:t>
      </w:r>
    </w:p>
    <w:p w14:paraId="33536951" w14:textId="77777777" w:rsidR="004B5BEA" w:rsidRPr="00A4397D" w:rsidRDefault="004B5BEA" w:rsidP="004B5BEA">
      <w:pPr>
        <w:jc w:val="right"/>
        <w:rPr>
          <w:sz w:val="20"/>
          <w:szCs w:val="20"/>
        </w:rPr>
      </w:pPr>
      <w:r w:rsidRPr="00A4397D">
        <w:rPr>
          <w:sz w:val="20"/>
          <w:szCs w:val="20"/>
        </w:rPr>
        <w:t>№ 3 от «15» апреля 2025 г.</w:t>
      </w:r>
    </w:p>
    <w:p w14:paraId="21FC1CF2" w14:textId="77777777" w:rsidR="004B5BEA" w:rsidRPr="004252C1" w:rsidRDefault="004B5BEA" w:rsidP="004B5BEA">
      <w:pPr>
        <w:jc w:val="right"/>
      </w:pPr>
    </w:p>
    <w:p w14:paraId="5FEF458E" w14:textId="77777777" w:rsidR="004B5BEA" w:rsidRPr="00490628" w:rsidRDefault="004B5BEA" w:rsidP="004B5BEA">
      <w:pPr>
        <w:jc w:val="center"/>
        <w:rPr>
          <w:b/>
          <w:bCs/>
        </w:rPr>
      </w:pPr>
      <w:r w:rsidRPr="00490628">
        <w:rPr>
          <w:rFonts w:eastAsiaTheme="minorEastAsia"/>
          <w:b/>
          <w:bCs/>
          <w:sz w:val="22"/>
          <w:szCs w:val="22"/>
          <w:lang w:val="kk-KZ"/>
        </w:rPr>
        <w:t xml:space="preserve">Тарифы АО "SkyBridge Invest" для </w:t>
      </w:r>
      <w:r>
        <w:rPr>
          <w:rFonts w:eastAsiaTheme="minorEastAsia"/>
          <w:b/>
          <w:bCs/>
          <w:sz w:val="22"/>
          <w:szCs w:val="22"/>
          <w:lang w:val="kk-KZ"/>
        </w:rPr>
        <w:t>физических</w:t>
      </w:r>
      <w:r w:rsidRPr="00490628">
        <w:rPr>
          <w:rFonts w:eastAsiaTheme="minorEastAsia"/>
          <w:b/>
          <w:bCs/>
          <w:sz w:val="22"/>
          <w:szCs w:val="22"/>
          <w:lang w:val="kk-KZ"/>
        </w:rPr>
        <w:t xml:space="preserve"> лиц-резидентов на оказание брокерских услуг и услуг номинального держания</w:t>
      </w:r>
    </w:p>
    <w:p w14:paraId="794C4A06" w14:textId="77777777" w:rsidR="004B5BEA" w:rsidRDefault="004B5BEA" w:rsidP="004B5BEA">
      <w:pPr>
        <w:jc w:val="center"/>
        <w:rPr>
          <w:color w:val="152C52"/>
          <w:sz w:val="22"/>
          <w:szCs w:val="22"/>
        </w:rPr>
      </w:pPr>
    </w:p>
    <w:tbl>
      <w:tblPr>
        <w:tblW w:w="10207" w:type="dxa"/>
        <w:tblInd w:w="-577" w:type="dxa"/>
        <w:tblLook w:val="04A0" w:firstRow="1" w:lastRow="0" w:firstColumn="1" w:lastColumn="0" w:noHBand="0" w:noVBand="1"/>
      </w:tblPr>
      <w:tblGrid>
        <w:gridCol w:w="4962"/>
        <w:gridCol w:w="5245"/>
      </w:tblGrid>
      <w:tr w:rsidR="004B5BEA" w:rsidRPr="006A72B2" w14:paraId="76CFEF8B" w14:textId="77777777" w:rsidTr="00A512E1">
        <w:trPr>
          <w:trHeight w:val="750"/>
          <w:tblHeader/>
        </w:trPr>
        <w:tc>
          <w:tcPr>
            <w:tcW w:w="4962"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7EC0C887" w14:textId="77777777" w:rsidR="004B5BEA" w:rsidRPr="006A72B2" w:rsidRDefault="004B5BEA" w:rsidP="00A512E1">
            <w:pPr>
              <w:jc w:val="center"/>
              <w:rPr>
                <w:b/>
                <w:sz w:val="20"/>
                <w:szCs w:val="20"/>
              </w:rPr>
            </w:pPr>
            <w:r w:rsidRPr="006A72B2">
              <w:rPr>
                <w:b/>
                <w:sz w:val="20"/>
                <w:szCs w:val="20"/>
              </w:rPr>
              <w:t>Вид операции</w:t>
            </w:r>
          </w:p>
        </w:tc>
        <w:tc>
          <w:tcPr>
            <w:tcW w:w="5245" w:type="dxa"/>
            <w:tcBorders>
              <w:top w:val="single" w:sz="8" w:space="0" w:color="auto"/>
              <w:left w:val="nil"/>
              <w:bottom w:val="single" w:sz="4" w:space="0" w:color="auto"/>
              <w:right w:val="single" w:sz="4" w:space="0" w:color="auto"/>
            </w:tcBorders>
            <w:shd w:val="clear" w:color="000000" w:fill="BFBFBF"/>
            <w:vAlign w:val="center"/>
            <w:hideMark/>
          </w:tcPr>
          <w:p w14:paraId="44D9E917" w14:textId="77777777" w:rsidR="004B5BEA" w:rsidRPr="006A72B2" w:rsidRDefault="004B5BEA" w:rsidP="00A512E1">
            <w:pPr>
              <w:jc w:val="center"/>
              <w:rPr>
                <w:b/>
                <w:bCs/>
                <w:sz w:val="20"/>
                <w:szCs w:val="20"/>
              </w:rPr>
            </w:pPr>
            <w:r w:rsidRPr="006A72B2">
              <w:rPr>
                <w:b/>
                <w:bCs/>
                <w:sz w:val="20"/>
                <w:szCs w:val="20"/>
              </w:rPr>
              <w:t>Тариф для</w:t>
            </w:r>
            <w:r w:rsidRPr="00CD7B51">
              <w:rPr>
                <w:b/>
                <w:bCs/>
                <w:sz w:val="20"/>
                <w:szCs w:val="20"/>
              </w:rPr>
              <w:t xml:space="preserve"> физических лиц</w:t>
            </w:r>
          </w:p>
        </w:tc>
      </w:tr>
      <w:tr w:rsidR="004B5BEA" w:rsidRPr="006A72B2" w14:paraId="186BBD8A" w14:textId="77777777" w:rsidTr="00A512E1">
        <w:trPr>
          <w:cantSplit/>
          <w:trHeight w:val="424"/>
          <w:tblHeader/>
        </w:trPr>
        <w:tc>
          <w:tcPr>
            <w:tcW w:w="10207"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22259FAF" w14:textId="77777777" w:rsidR="004B5BEA" w:rsidRPr="00B87B04" w:rsidRDefault="004B5BEA" w:rsidP="00A512E1">
            <w:pPr>
              <w:jc w:val="center"/>
              <w:rPr>
                <w:b/>
                <w:bCs/>
                <w:sz w:val="20"/>
                <w:szCs w:val="20"/>
              </w:rPr>
            </w:pPr>
            <w:r w:rsidRPr="00B87B04">
              <w:rPr>
                <w:b/>
                <w:color w:val="FFFFFF"/>
                <w:sz w:val="20"/>
                <w:szCs w:val="20"/>
              </w:rPr>
              <w:t>Услуги номинального держания</w:t>
            </w:r>
          </w:p>
        </w:tc>
      </w:tr>
      <w:tr w:rsidR="004B5BEA" w:rsidRPr="006A72B2" w14:paraId="7A31386C" w14:textId="77777777" w:rsidTr="00A512E1">
        <w:trPr>
          <w:trHeight w:val="51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78531D1D" w14:textId="77777777" w:rsidR="004B5BEA" w:rsidRPr="006A72B2" w:rsidRDefault="004B5BEA" w:rsidP="00A512E1">
            <w:pPr>
              <w:rPr>
                <w:sz w:val="20"/>
                <w:szCs w:val="20"/>
              </w:rPr>
            </w:pPr>
            <w:r w:rsidRPr="006A72B2">
              <w:rPr>
                <w:sz w:val="20"/>
                <w:szCs w:val="20"/>
              </w:rPr>
              <w:t xml:space="preserve">Открытие </w:t>
            </w:r>
            <w:r>
              <w:rPr>
                <w:sz w:val="20"/>
                <w:szCs w:val="20"/>
              </w:rPr>
              <w:t xml:space="preserve">/ведение </w:t>
            </w:r>
            <w:r w:rsidRPr="006A72B2">
              <w:rPr>
                <w:sz w:val="20"/>
                <w:szCs w:val="20"/>
              </w:rPr>
              <w:t>/закрытие лицевого счета</w:t>
            </w:r>
          </w:p>
        </w:tc>
        <w:tc>
          <w:tcPr>
            <w:tcW w:w="5245" w:type="dxa"/>
            <w:tcBorders>
              <w:top w:val="nil"/>
              <w:left w:val="nil"/>
              <w:bottom w:val="single" w:sz="4" w:space="0" w:color="auto"/>
              <w:right w:val="single" w:sz="4" w:space="0" w:color="auto"/>
            </w:tcBorders>
            <w:shd w:val="clear" w:color="auto" w:fill="auto"/>
            <w:vAlign w:val="center"/>
            <w:hideMark/>
          </w:tcPr>
          <w:p w14:paraId="2790D467" w14:textId="77777777" w:rsidR="004B5BEA" w:rsidRPr="006A72B2" w:rsidRDefault="004B5BEA" w:rsidP="00A512E1">
            <w:pPr>
              <w:rPr>
                <w:sz w:val="20"/>
                <w:szCs w:val="20"/>
              </w:rPr>
            </w:pPr>
            <w:r w:rsidRPr="006A72B2">
              <w:rPr>
                <w:sz w:val="20"/>
                <w:szCs w:val="20"/>
              </w:rPr>
              <w:t>Бесплатно</w:t>
            </w:r>
          </w:p>
        </w:tc>
      </w:tr>
      <w:tr w:rsidR="004B5BEA" w:rsidRPr="006A72B2" w14:paraId="3C2D68B3" w14:textId="77777777" w:rsidTr="00A512E1">
        <w:trPr>
          <w:trHeight w:val="999"/>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D4E929A" w14:textId="77777777" w:rsidR="004B5BEA" w:rsidRDefault="004B5BEA" w:rsidP="00A512E1">
            <w:pPr>
              <w:rPr>
                <w:sz w:val="20"/>
                <w:szCs w:val="20"/>
              </w:rPr>
            </w:pPr>
            <w:r w:rsidRPr="006A72B2">
              <w:rPr>
                <w:sz w:val="20"/>
                <w:szCs w:val="20"/>
              </w:rPr>
              <w:t xml:space="preserve">Ввод /вывод из номинального держания финансовых инструментов </w:t>
            </w:r>
          </w:p>
          <w:p w14:paraId="5A5AF217" w14:textId="77777777" w:rsidR="004B5BEA" w:rsidRDefault="004B5BEA" w:rsidP="00A512E1">
            <w:pPr>
              <w:rPr>
                <w:sz w:val="20"/>
                <w:szCs w:val="20"/>
              </w:rPr>
            </w:pPr>
          </w:p>
          <w:p w14:paraId="6E063585" w14:textId="77777777" w:rsidR="004B5BEA" w:rsidRPr="006A72B2" w:rsidRDefault="004B5BEA" w:rsidP="00A512E1">
            <w:pPr>
              <w:rPr>
                <w:sz w:val="20"/>
                <w:szCs w:val="20"/>
              </w:rPr>
            </w:pPr>
          </w:p>
        </w:tc>
        <w:tc>
          <w:tcPr>
            <w:tcW w:w="5245" w:type="dxa"/>
            <w:tcBorders>
              <w:top w:val="nil"/>
              <w:left w:val="nil"/>
              <w:bottom w:val="single" w:sz="4" w:space="0" w:color="auto"/>
              <w:right w:val="single" w:sz="4" w:space="0" w:color="auto"/>
            </w:tcBorders>
            <w:shd w:val="clear" w:color="auto" w:fill="auto"/>
            <w:vAlign w:val="center"/>
            <w:hideMark/>
          </w:tcPr>
          <w:p w14:paraId="7F400EFF" w14:textId="77777777" w:rsidR="004B5BEA" w:rsidRPr="00CD7B51" w:rsidRDefault="004B5BEA" w:rsidP="00A512E1">
            <w:pPr>
              <w:numPr>
                <w:ilvl w:val="0"/>
                <w:numId w:val="1"/>
              </w:numPr>
              <w:spacing w:after="120"/>
              <w:ind w:left="227" w:hanging="227"/>
              <w:rPr>
                <w:sz w:val="20"/>
                <w:szCs w:val="20"/>
              </w:rPr>
            </w:pPr>
            <w:r w:rsidRPr="00CD7B51">
              <w:rPr>
                <w:sz w:val="20"/>
                <w:szCs w:val="20"/>
              </w:rPr>
              <w:t>Ввод любого вида финансового инструмента – бесплатно,</w:t>
            </w:r>
          </w:p>
          <w:p w14:paraId="578C4B31" w14:textId="77777777" w:rsidR="004B5BEA" w:rsidRPr="006A72B2" w:rsidRDefault="004B5BEA" w:rsidP="00A512E1">
            <w:pPr>
              <w:numPr>
                <w:ilvl w:val="0"/>
                <w:numId w:val="1"/>
              </w:numPr>
              <w:spacing w:after="120"/>
              <w:ind w:left="227" w:hanging="227"/>
              <w:rPr>
                <w:sz w:val="20"/>
                <w:szCs w:val="20"/>
              </w:rPr>
            </w:pPr>
            <w:r w:rsidRPr="00CD7B51">
              <w:rPr>
                <w:sz w:val="20"/>
                <w:szCs w:val="20"/>
              </w:rPr>
              <w:t>Вывод ценных бумаг (по каждому виду, идентифицированному по НИН/</w:t>
            </w:r>
            <w:r w:rsidRPr="00CD7B51">
              <w:rPr>
                <w:sz w:val="20"/>
                <w:szCs w:val="20"/>
                <w:lang w:val="en-US"/>
              </w:rPr>
              <w:t>ISIN</w:t>
            </w:r>
            <w:r>
              <w:rPr>
                <w:sz w:val="20"/>
                <w:szCs w:val="20"/>
              </w:rPr>
              <w:t>) – 10 МРП</w:t>
            </w:r>
          </w:p>
        </w:tc>
      </w:tr>
      <w:tr w:rsidR="004B5BEA" w:rsidRPr="006A72B2" w14:paraId="11A6137A" w14:textId="77777777" w:rsidTr="00A512E1">
        <w:trPr>
          <w:trHeight w:val="405"/>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351662F6" w14:textId="77777777" w:rsidR="004B5BEA" w:rsidRDefault="004B5BEA" w:rsidP="00A512E1">
            <w:pPr>
              <w:rPr>
                <w:sz w:val="20"/>
                <w:szCs w:val="20"/>
              </w:rPr>
            </w:pPr>
            <w:r>
              <w:rPr>
                <w:sz w:val="20"/>
                <w:szCs w:val="20"/>
              </w:rPr>
              <w:t>Перевод денежных средств в тенге</w:t>
            </w:r>
          </w:p>
        </w:tc>
        <w:tc>
          <w:tcPr>
            <w:tcW w:w="5245" w:type="dxa"/>
            <w:tcBorders>
              <w:top w:val="single" w:sz="4" w:space="0" w:color="auto"/>
              <w:left w:val="nil"/>
              <w:bottom w:val="single" w:sz="4" w:space="0" w:color="auto"/>
              <w:right w:val="single" w:sz="4" w:space="0" w:color="auto"/>
            </w:tcBorders>
            <w:shd w:val="clear" w:color="auto" w:fill="auto"/>
            <w:vAlign w:val="center"/>
          </w:tcPr>
          <w:p w14:paraId="36DF393B" w14:textId="77777777" w:rsidR="004B5BEA" w:rsidRPr="00EE5800" w:rsidRDefault="004B5BEA" w:rsidP="004B5BEA">
            <w:pPr>
              <w:pStyle w:val="a7"/>
              <w:numPr>
                <w:ilvl w:val="0"/>
                <w:numId w:val="3"/>
              </w:numPr>
              <w:ind w:left="169" w:hanging="141"/>
              <w:rPr>
                <w:sz w:val="20"/>
                <w:szCs w:val="20"/>
              </w:rPr>
            </w:pPr>
            <w:r w:rsidRPr="00EE5800">
              <w:rPr>
                <w:sz w:val="20"/>
                <w:szCs w:val="20"/>
              </w:rPr>
              <w:t xml:space="preserve">До 13:00 – 0,15%, </w:t>
            </w:r>
            <w:r>
              <w:rPr>
                <w:sz w:val="20"/>
                <w:szCs w:val="20"/>
              </w:rPr>
              <w:t xml:space="preserve">не менее 0,1 МРП и </w:t>
            </w:r>
            <w:r w:rsidRPr="00EE5800">
              <w:rPr>
                <w:sz w:val="20"/>
                <w:szCs w:val="20"/>
              </w:rPr>
              <w:t>не более 1 МРП</w:t>
            </w:r>
          </w:p>
          <w:p w14:paraId="2CA35950" w14:textId="77777777" w:rsidR="004B5BEA" w:rsidRDefault="004B5BEA" w:rsidP="004B5BEA">
            <w:pPr>
              <w:pStyle w:val="a7"/>
              <w:numPr>
                <w:ilvl w:val="0"/>
                <w:numId w:val="3"/>
              </w:numPr>
              <w:ind w:left="169" w:hanging="141"/>
              <w:rPr>
                <w:sz w:val="20"/>
                <w:szCs w:val="20"/>
              </w:rPr>
            </w:pPr>
            <w:r w:rsidRPr="00EE5800">
              <w:rPr>
                <w:sz w:val="20"/>
                <w:szCs w:val="20"/>
              </w:rPr>
              <w:t xml:space="preserve">После 13:00 – 0,25%, </w:t>
            </w:r>
            <w:r>
              <w:rPr>
                <w:sz w:val="20"/>
                <w:szCs w:val="20"/>
              </w:rPr>
              <w:t xml:space="preserve">не менее 0,1 МРП и </w:t>
            </w:r>
            <w:r w:rsidRPr="00EE5800">
              <w:rPr>
                <w:sz w:val="20"/>
                <w:szCs w:val="20"/>
              </w:rPr>
              <w:t>не более 2 МРП</w:t>
            </w:r>
          </w:p>
        </w:tc>
      </w:tr>
      <w:tr w:rsidR="004B5BEA" w:rsidRPr="006A72B2" w14:paraId="0C35D500" w14:textId="77777777" w:rsidTr="00A512E1">
        <w:trPr>
          <w:trHeight w:val="613"/>
        </w:trPr>
        <w:tc>
          <w:tcPr>
            <w:tcW w:w="4962" w:type="dxa"/>
            <w:tcBorders>
              <w:top w:val="single" w:sz="4" w:space="0" w:color="auto"/>
              <w:left w:val="single" w:sz="8" w:space="0" w:color="auto"/>
              <w:bottom w:val="single" w:sz="4" w:space="0" w:color="auto"/>
              <w:right w:val="single" w:sz="4" w:space="0" w:color="auto"/>
            </w:tcBorders>
            <w:shd w:val="clear" w:color="auto" w:fill="auto"/>
            <w:vAlign w:val="center"/>
          </w:tcPr>
          <w:p w14:paraId="2B45F8C0" w14:textId="77777777" w:rsidR="004B5BEA" w:rsidRDefault="004B5BEA" w:rsidP="00A512E1">
            <w:pPr>
              <w:rPr>
                <w:sz w:val="20"/>
                <w:szCs w:val="20"/>
              </w:rPr>
            </w:pPr>
            <w:r>
              <w:rPr>
                <w:sz w:val="20"/>
                <w:szCs w:val="20"/>
              </w:rPr>
              <w:t>Перевод денежных средств в иностранной валюте</w:t>
            </w:r>
          </w:p>
        </w:tc>
        <w:tc>
          <w:tcPr>
            <w:tcW w:w="5245" w:type="dxa"/>
            <w:tcBorders>
              <w:top w:val="single" w:sz="4" w:space="0" w:color="auto"/>
              <w:left w:val="nil"/>
              <w:bottom w:val="single" w:sz="4" w:space="0" w:color="auto"/>
              <w:right w:val="single" w:sz="4" w:space="0" w:color="auto"/>
            </w:tcBorders>
            <w:shd w:val="clear" w:color="auto" w:fill="auto"/>
            <w:vAlign w:val="center"/>
          </w:tcPr>
          <w:p w14:paraId="3664B7E4" w14:textId="77777777" w:rsidR="004B5BEA" w:rsidRPr="00EE5800" w:rsidRDefault="004B5BEA" w:rsidP="004B5BEA">
            <w:pPr>
              <w:pStyle w:val="a7"/>
              <w:numPr>
                <w:ilvl w:val="0"/>
                <w:numId w:val="4"/>
              </w:numPr>
              <w:ind w:left="169" w:hanging="141"/>
              <w:rPr>
                <w:b/>
                <w:bCs/>
                <w:sz w:val="20"/>
                <w:szCs w:val="20"/>
              </w:rPr>
            </w:pPr>
            <w:r w:rsidRPr="00EE5800">
              <w:rPr>
                <w:bCs/>
                <w:sz w:val="20"/>
                <w:szCs w:val="20"/>
              </w:rPr>
              <w:t xml:space="preserve">До 15:00 – 0,35%, не менее </w:t>
            </w:r>
            <w:r>
              <w:rPr>
                <w:bCs/>
                <w:sz w:val="20"/>
                <w:szCs w:val="20"/>
              </w:rPr>
              <w:t>5</w:t>
            </w:r>
            <w:r w:rsidRPr="00EE5800">
              <w:rPr>
                <w:bCs/>
                <w:sz w:val="20"/>
                <w:szCs w:val="20"/>
              </w:rPr>
              <w:t xml:space="preserve"> </w:t>
            </w:r>
            <w:r>
              <w:rPr>
                <w:bCs/>
                <w:sz w:val="20"/>
                <w:szCs w:val="20"/>
              </w:rPr>
              <w:t xml:space="preserve">МРП </w:t>
            </w:r>
            <w:r w:rsidRPr="00EE5800">
              <w:rPr>
                <w:bCs/>
                <w:sz w:val="20"/>
                <w:szCs w:val="20"/>
              </w:rPr>
              <w:t xml:space="preserve">и не более </w:t>
            </w:r>
            <w:r>
              <w:rPr>
                <w:bCs/>
                <w:sz w:val="20"/>
                <w:szCs w:val="20"/>
              </w:rPr>
              <w:t>34 МРП</w:t>
            </w:r>
          </w:p>
          <w:p w14:paraId="50EF6D02" w14:textId="77777777" w:rsidR="004B5BEA" w:rsidRPr="00EE5800" w:rsidDel="008B72D8" w:rsidRDefault="004B5BEA" w:rsidP="004B5BEA">
            <w:pPr>
              <w:pStyle w:val="a7"/>
              <w:numPr>
                <w:ilvl w:val="0"/>
                <w:numId w:val="4"/>
              </w:numPr>
              <w:ind w:left="169" w:hanging="141"/>
              <w:rPr>
                <w:sz w:val="20"/>
                <w:szCs w:val="20"/>
              </w:rPr>
            </w:pPr>
            <w:r w:rsidRPr="00EE5800">
              <w:rPr>
                <w:bCs/>
                <w:sz w:val="20"/>
                <w:szCs w:val="20"/>
              </w:rPr>
              <w:t xml:space="preserve">После 15:00 – 0,55%, не менее </w:t>
            </w:r>
            <w:r>
              <w:rPr>
                <w:bCs/>
                <w:sz w:val="20"/>
                <w:szCs w:val="20"/>
              </w:rPr>
              <w:t>15</w:t>
            </w:r>
            <w:r w:rsidRPr="00EE5800">
              <w:rPr>
                <w:bCs/>
                <w:sz w:val="20"/>
                <w:szCs w:val="20"/>
              </w:rPr>
              <w:t xml:space="preserve"> </w:t>
            </w:r>
            <w:r>
              <w:rPr>
                <w:bCs/>
                <w:sz w:val="20"/>
                <w:szCs w:val="20"/>
              </w:rPr>
              <w:t xml:space="preserve">МРП </w:t>
            </w:r>
            <w:r w:rsidRPr="00EE5800">
              <w:rPr>
                <w:bCs/>
                <w:sz w:val="20"/>
                <w:szCs w:val="20"/>
              </w:rPr>
              <w:t xml:space="preserve">и не более </w:t>
            </w:r>
            <w:r>
              <w:rPr>
                <w:bCs/>
                <w:sz w:val="20"/>
                <w:szCs w:val="20"/>
              </w:rPr>
              <w:t>40</w:t>
            </w:r>
            <w:r w:rsidRPr="00EE5800">
              <w:rPr>
                <w:bCs/>
                <w:sz w:val="20"/>
                <w:szCs w:val="20"/>
              </w:rPr>
              <w:t xml:space="preserve"> </w:t>
            </w:r>
            <w:r>
              <w:rPr>
                <w:bCs/>
                <w:sz w:val="20"/>
                <w:szCs w:val="20"/>
              </w:rPr>
              <w:t>МРП</w:t>
            </w:r>
          </w:p>
        </w:tc>
      </w:tr>
      <w:tr w:rsidR="004B5BEA" w:rsidRPr="006A72B2" w14:paraId="7299A69B" w14:textId="77777777" w:rsidTr="00A512E1">
        <w:trPr>
          <w:trHeight w:val="1036"/>
        </w:trPr>
        <w:tc>
          <w:tcPr>
            <w:tcW w:w="4962" w:type="dxa"/>
            <w:tcBorders>
              <w:top w:val="nil"/>
              <w:left w:val="single" w:sz="8" w:space="0" w:color="auto"/>
              <w:bottom w:val="single" w:sz="4" w:space="0" w:color="auto"/>
              <w:right w:val="single" w:sz="4" w:space="0" w:color="auto"/>
            </w:tcBorders>
            <w:shd w:val="clear" w:color="auto" w:fill="auto"/>
            <w:vAlign w:val="center"/>
          </w:tcPr>
          <w:p w14:paraId="08390A5D" w14:textId="77777777" w:rsidR="004B5BEA" w:rsidRPr="006A72B2" w:rsidRDefault="004B5BEA" w:rsidP="00A512E1">
            <w:pPr>
              <w:rPr>
                <w:sz w:val="20"/>
                <w:szCs w:val="20"/>
              </w:rPr>
            </w:pPr>
            <w:r>
              <w:rPr>
                <w:sz w:val="20"/>
                <w:szCs w:val="20"/>
              </w:rPr>
              <w:t>Перевод денежных средств в иностранной валюте внутри своих счетов, открытых в сторонних организациях</w:t>
            </w:r>
          </w:p>
        </w:tc>
        <w:tc>
          <w:tcPr>
            <w:tcW w:w="5245" w:type="dxa"/>
            <w:tcBorders>
              <w:top w:val="nil"/>
              <w:left w:val="nil"/>
              <w:bottom w:val="single" w:sz="4" w:space="0" w:color="auto"/>
              <w:right w:val="single" w:sz="4" w:space="0" w:color="auto"/>
            </w:tcBorders>
            <w:shd w:val="clear" w:color="auto" w:fill="auto"/>
            <w:vAlign w:val="center"/>
          </w:tcPr>
          <w:p w14:paraId="0F4F4F74" w14:textId="77777777" w:rsidR="004B5BEA" w:rsidRPr="00050045" w:rsidRDefault="004B5BEA" w:rsidP="004B5BEA">
            <w:pPr>
              <w:pStyle w:val="a7"/>
              <w:numPr>
                <w:ilvl w:val="0"/>
                <w:numId w:val="4"/>
              </w:numPr>
              <w:ind w:left="169" w:hanging="141"/>
              <w:rPr>
                <w:b/>
                <w:bCs/>
                <w:sz w:val="20"/>
                <w:szCs w:val="20"/>
              </w:rPr>
            </w:pPr>
            <w:r w:rsidRPr="00EE5800">
              <w:rPr>
                <w:bCs/>
                <w:sz w:val="20"/>
                <w:szCs w:val="20"/>
              </w:rPr>
              <w:t xml:space="preserve">До 15:00 – 0,35%, не менее </w:t>
            </w:r>
            <w:r>
              <w:rPr>
                <w:bCs/>
                <w:sz w:val="20"/>
                <w:szCs w:val="20"/>
              </w:rPr>
              <w:t>5</w:t>
            </w:r>
            <w:r w:rsidRPr="00EE5800">
              <w:rPr>
                <w:bCs/>
                <w:sz w:val="20"/>
                <w:szCs w:val="20"/>
              </w:rPr>
              <w:t xml:space="preserve"> </w:t>
            </w:r>
            <w:r>
              <w:rPr>
                <w:bCs/>
                <w:sz w:val="20"/>
                <w:szCs w:val="20"/>
              </w:rPr>
              <w:t xml:space="preserve">МРП </w:t>
            </w:r>
            <w:r w:rsidRPr="00EE5800">
              <w:rPr>
                <w:bCs/>
                <w:sz w:val="20"/>
                <w:szCs w:val="20"/>
              </w:rPr>
              <w:t xml:space="preserve">и не более </w:t>
            </w:r>
            <w:r>
              <w:rPr>
                <w:bCs/>
                <w:sz w:val="20"/>
                <w:szCs w:val="20"/>
              </w:rPr>
              <w:t>34 МРП</w:t>
            </w:r>
          </w:p>
          <w:p w14:paraId="70A7DB6C" w14:textId="77777777" w:rsidR="004B5BEA" w:rsidRPr="00050045" w:rsidRDefault="004B5BEA" w:rsidP="004B5BEA">
            <w:pPr>
              <w:pStyle w:val="a7"/>
              <w:numPr>
                <w:ilvl w:val="0"/>
                <w:numId w:val="4"/>
              </w:numPr>
              <w:ind w:left="169" w:hanging="141"/>
              <w:rPr>
                <w:b/>
                <w:bCs/>
                <w:sz w:val="20"/>
                <w:szCs w:val="20"/>
              </w:rPr>
            </w:pPr>
            <w:r w:rsidRPr="00050045">
              <w:rPr>
                <w:bCs/>
                <w:sz w:val="20"/>
                <w:szCs w:val="20"/>
              </w:rPr>
              <w:t>После 15:00 – 0,55%, не менее 15 МРП и не более 40 МРП</w:t>
            </w:r>
          </w:p>
        </w:tc>
      </w:tr>
      <w:tr w:rsidR="004B5BEA" w:rsidRPr="006A72B2" w14:paraId="3BC31D12" w14:textId="77777777" w:rsidTr="00A512E1">
        <w:trPr>
          <w:trHeight w:val="1036"/>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0B998990" w14:textId="77777777" w:rsidR="004B5BEA" w:rsidRPr="006A72B2" w:rsidRDefault="004B5BEA" w:rsidP="00A512E1">
            <w:pPr>
              <w:rPr>
                <w:sz w:val="20"/>
                <w:szCs w:val="20"/>
              </w:rPr>
            </w:pPr>
            <w:r w:rsidRPr="006A72B2">
              <w:rPr>
                <w:sz w:val="20"/>
                <w:szCs w:val="20"/>
              </w:rPr>
              <w:t>Предоставление регулярных отчетов - 1 раз в месяц (выписка с лицевого счета по состоянию на конец месяца, отчет об истории лицевого счета за отчетный месяц и другие отчеты в соответствии с законодательством РК)</w:t>
            </w:r>
          </w:p>
        </w:tc>
        <w:tc>
          <w:tcPr>
            <w:tcW w:w="5245" w:type="dxa"/>
            <w:tcBorders>
              <w:top w:val="nil"/>
              <w:left w:val="nil"/>
              <w:bottom w:val="single" w:sz="4" w:space="0" w:color="auto"/>
              <w:right w:val="single" w:sz="4" w:space="0" w:color="auto"/>
            </w:tcBorders>
            <w:shd w:val="clear" w:color="auto" w:fill="auto"/>
            <w:vAlign w:val="center"/>
            <w:hideMark/>
          </w:tcPr>
          <w:p w14:paraId="1C3F1987" w14:textId="77777777" w:rsidR="004B5BEA" w:rsidRPr="006A72B2" w:rsidRDefault="004B5BEA" w:rsidP="00A512E1">
            <w:pPr>
              <w:rPr>
                <w:sz w:val="20"/>
                <w:szCs w:val="20"/>
                <w:lang w:val="en-US"/>
              </w:rPr>
            </w:pPr>
            <w:proofErr w:type="spellStart"/>
            <w:r w:rsidRPr="006A72B2">
              <w:rPr>
                <w:sz w:val="20"/>
                <w:szCs w:val="20"/>
                <w:lang w:val="en-US"/>
              </w:rPr>
              <w:t>Бесплатно</w:t>
            </w:r>
            <w:proofErr w:type="spellEnd"/>
          </w:p>
        </w:tc>
      </w:tr>
      <w:tr w:rsidR="004B5BEA" w:rsidRPr="006A72B2" w14:paraId="63020A57" w14:textId="77777777" w:rsidTr="00A512E1">
        <w:trPr>
          <w:trHeight w:val="793"/>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73F0AE3" w14:textId="77777777" w:rsidR="004B5BEA" w:rsidRPr="006A72B2" w:rsidRDefault="004B5BEA" w:rsidP="00A512E1">
            <w:pPr>
              <w:rPr>
                <w:sz w:val="20"/>
                <w:szCs w:val="20"/>
              </w:rPr>
            </w:pPr>
            <w:r w:rsidRPr="006A72B2">
              <w:rPr>
                <w:sz w:val="20"/>
                <w:szCs w:val="20"/>
              </w:rPr>
              <w:t>Конвертация финансового инструмента (конвертация из депозитарной расписки в акции, из акций в депозитарные расписки)</w:t>
            </w:r>
          </w:p>
        </w:tc>
        <w:tc>
          <w:tcPr>
            <w:tcW w:w="5245" w:type="dxa"/>
            <w:tcBorders>
              <w:top w:val="nil"/>
              <w:left w:val="nil"/>
              <w:bottom w:val="single" w:sz="4" w:space="0" w:color="auto"/>
              <w:right w:val="single" w:sz="4" w:space="0" w:color="auto"/>
            </w:tcBorders>
            <w:shd w:val="clear" w:color="auto" w:fill="auto"/>
            <w:vAlign w:val="center"/>
            <w:hideMark/>
          </w:tcPr>
          <w:p w14:paraId="58918E04" w14:textId="77777777" w:rsidR="004B5BEA" w:rsidRPr="006A72B2" w:rsidRDefault="004B5BEA" w:rsidP="00A512E1">
            <w:pPr>
              <w:rPr>
                <w:sz w:val="20"/>
                <w:szCs w:val="20"/>
              </w:rPr>
            </w:pPr>
            <w:r w:rsidRPr="006A72B2">
              <w:rPr>
                <w:sz w:val="20"/>
                <w:szCs w:val="20"/>
              </w:rPr>
              <w:t>1,5 тенге за 1 депозитарную расписку</w:t>
            </w:r>
            <w:r w:rsidRPr="00295D5C">
              <w:rPr>
                <w:sz w:val="20"/>
                <w:szCs w:val="20"/>
              </w:rPr>
              <w:t>, не менее 8 МРП + комиссия в соответствии с Депозитарны</w:t>
            </w:r>
            <w:r>
              <w:rPr>
                <w:sz w:val="20"/>
                <w:szCs w:val="20"/>
              </w:rPr>
              <w:t>м соглашением эмитента</w:t>
            </w:r>
          </w:p>
        </w:tc>
      </w:tr>
      <w:tr w:rsidR="004B5BEA" w:rsidRPr="006A72B2" w14:paraId="377764E8" w14:textId="77777777" w:rsidTr="00A512E1">
        <w:trPr>
          <w:trHeight w:val="421"/>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053921B" w14:textId="77777777" w:rsidR="004B5BEA" w:rsidRPr="006A72B2" w:rsidRDefault="004B5BEA" w:rsidP="00A512E1">
            <w:pPr>
              <w:rPr>
                <w:sz w:val="20"/>
                <w:szCs w:val="20"/>
              </w:rPr>
            </w:pPr>
            <w:r w:rsidRPr="006A72B2">
              <w:rPr>
                <w:sz w:val="20"/>
                <w:szCs w:val="20"/>
              </w:rPr>
              <w:t>Регистрация обременения/залога</w:t>
            </w:r>
          </w:p>
        </w:tc>
        <w:tc>
          <w:tcPr>
            <w:tcW w:w="5245" w:type="dxa"/>
            <w:tcBorders>
              <w:top w:val="nil"/>
              <w:left w:val="nil"/>
              <w:bottom w:val="single" w:sz="4" w:space="0" w:color="auto"/>
              <w:right w:val="single" w:sz="4" w:space="0" w:color="auto"/>
            </w:tcBorders>
            <w:shd w:val="clear" w:color="auto" w:fill="auto"/>
            <w:vAlign w:val="center"/>
            <w:hideMark/>
          </w:tcPr>
          <w:p w14:paraId="0119023C" w14:textId="77777777" w:rsidR="004B5BEA" w:rsidRPr="006A72B2" w:rsidRDefault="004B5BEA" w:rsidP="00A512E1">
            <w:pPr>
              <w:rPr>
                <w:sz w:val="20"/>
                <w:szCs w:val="20"/>
              </w:rPr>
            </w:pPr>
            <w:r w:rsidRPr="006A72B2">
              <w:rPr>
                <w:sz w:val="20"/>
                <w:szCs w:val="20"/>
              </w:rPr>
              <w:t>0.2% от суммы операции, не менее 5 МРП</w:t>
            </w:r>
          </w:p>
        </w:tc>
      </w:tr>
      <w:tr w:rsidR="004B5BEA" w:rsidRPr="006A72B2" w14:paraId="53642F05" w14:textId="77777777" w:rsidTr="00A512E1">
        <w:trPr>
          <w:trHeight w:val="602"/>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7A66D918" w14:textId="77777777" w:rsidR="004B5BEA" w:rsidRPr="006A72B2" w:rsidRDefault="004B5BEA" w:rsidP="00A512E1">
            <w:pPr>
              <w:rPr>
                <w:sz w:val="20"/>
                <w:szCs w:val="20"/>
              </w:rPr>
            </w:pPr>
            <w:r w:rsidRPr="006A72B2">
              <w:rPr>
                <w:sz w:val="20"/>
                <w:szCs w:val="20"/>
              </w:rPr>
              <w:t>Дематериализация финансового инструмента</w:t>
            </w:r>
          </w:p>
        </w:tc>
        <w:tc>
          <w:tcPr>
            <w:tcW w:w="5245" w:type="dxa"/>
            <w:tcBorders>
              <w:top w:val="nil"/>
              <w:left w:val="nil"/>
              <w:bottom w:val="single" w:sz="4" w:space="0" w:color="auto"/>
              <w:right w:val="single" w:sz="4" w:space="0" w:color="auto"/>
            </w:tcBorders>
            <w:shd w:val="clear" w:color="auto" w:fill="auto"/>
            <w:vAlign w:val="center"/>
            <w:hideMark/>
          </w:tcPr>
          <w:p w14:paraId="56A35797" w14:textId="77777777" w:rsidR="004B5BEA" w:rsidRPr="006A72B2" w:rsidRDefault="004B5BEA" w:rsidP="00A512E1">
            <w:pPr>
              <w:rPr>
                <w:sz w:val="20"/>
                <w:szCs w:val="20"/>
              </w:rPr>
            </w:pPr>
            <w:r w:rsidRPr="006A72B2">
              <w:rPr>
                <w:sz w:val="20"/>
                <w:szCs w:val="20"/>
              </w:rPr>
              <w:t>0.02% от рыночной стоимости фина</w:t>
            </w:r>
            <w:r>
              <w:rPr>
                <w:sz w:val="20"/>
                <w:szCs w:val="20"/>
              </w:rPr>
              <w:t xml:space="preserve">нсового инструмента, не менее 15 </w:t>
            </w:r>
            <w:r w:rsidRPr="006A72B2">
              <w:rPr>
                <w:sz w:val="20"/>
                <w:szCs w:val="20"/>
              </w:rPr>
              <w:t>МРП</w:t>
            </w:r>
          </w:p>
        </w:tc>
      </w:tr>
      <w:tr w:rsidR="004B5BEA" w:rsidRPr="006A72B2" w14:paraId="3C8C9C9D" w14:textId="77777777" w:rsidTr="00A512E1">
        <w:trPr>
          <w:trHeight w:val="627"/>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56CB3A0" w14:textId="77777777" w:rsidR="004B5BEA" w:rsidRPr="006A72B2" w:rsidRDefault="004B5BEA" w:rsidP="00A512E1">
            <w:pPr>
              <w:rPr>
                <w:sz w:val="20"/>
                <w:szCs w:val="20"/>
              </w:rPr>
            </w:pPr>
            <w:r w:rsidRPr="006A72B2">
              <w:rPr>
                <w:sz w:val="20"/>
                <w:szCs w:val="20"/>
              </w:rPr>
              <w:t>Голосование по корпоративным действиям по доверенности (</w:t>
            </w:r>
            <w:proofErr w:type="spellStart"/>
            <w:r w:rsidRPr="006A72B2">
              <w:rPr>
                <w:sz w:val="20"/>
                <w:szCs w:val="20"/>
              </w:rPr>
              <w:t>proxy</w:t>
            </w:r>
            <w:proofErr w:type="spellEnd"/>
            <w:r w:rsidRPr="006A72B2">
              <w:rPr>
                <w:sz w:val="20"/>
                <w:szCs w:val="20"/>
              </w:rPr>
              <w:t xml:space="preserve"> </w:t>
            </w:r>
            <w:proofErr w:type="spellStart"/>
            <w:r w:rsidRPr="006A72B2">
              <w:rPr>
                <w:sz w:val="20"/>
                <w:szCs w:val="20"/>
              </w:rPr>
              <w:t>voting</w:t>
            </w:r>
            <w:proofErr w:type="spellEnd"/>
            <w:r w:rsidRPr="006A72B2">
              <w:rPr>
                <w:sz w:val="20"/>
                <w:szCs w:val="20"/>
              </w:rPr>
              <w:t>)</w:t>
            </w:r>
          </w:p>
        </w:tc>
        <w:tc>
          <w:tcPr>
            <w:tcW w:w="5245" w:type="dxa"/>
            <w:tcBorders>
              <w:top w:val="nil"/>
              <w:left w:val="nil"/>
              <w:bottom w:val="single" w:sz="4" w:space="0" w:color="auto"/>
              <w:right w:val="single" w:sz="4" w:space="0" w:color="auto"/>
            </w:tcBorders>
            <w:shd w:val="clear" w:color="auto" w:fill="auto"/>
            <w:vAlign w:val="center"/>
            <w:hideMark/>
          </w:tcPr>
          <w:p w14:paraId="7633CEAC" w14:textId="77777777" w:rsidR="004B5BEA" w:rsidRPr="00676455" w:rsidRDefault="004B5BEA" w:rsidP="00A512E1">
            <w:pPr>
              <w:rPr>
                <w:sz w:val="20"/>
                <w:szCs w:val="20"/>
              </w:rPr>
            </w:pPr>
            <w:r w:rsidRPr="00B87B04">
              <w:rPr>
                <w:sz w:val="20"/>
                <w:szCs w:val="20"/>
              </w:rPr>
              <w:t>5 МРП</w:t>
            </w:r>
          </w:p>
        </w:tc>
      </w:tr>
      <w:tr w:rsidR="004B5BEA" w:rsidRPr="006A72B2" w14:paraId="1DA64EC5" w14:textId="77777777" w:rsidTr="00A512E1">
        <w:trPr>
          <w:trHeight w:val="627"/>
        </w:trPr>
        <w:tc>
          <w:tcPr>
            <w:tcW w:w="4962" w:type="dxa"/>
            <w:tcBorders>
              <w:top w:val="nil"/>
              <w:left w:val="single" w:sz="8" w:space="0" w:color="auto"/>
              <w:bottom w:val="single" w:sz="4" w:space="0" w:color="auto"/>
              <w:right w:val="single" w:sz="4" w:space="0" w:color="auto"/>
            </w:tcBorders>
            <w:shd w:val="clear" w:color="auto" w:fill="auto"/>
            <w:vAlign w:val="center"/>
          </w:tcPr>
          <w:p w14:paraId="7960FDE3" w14:textId="77777777" w:rsidR="004B5BEA" w:rsidRPr="006A72B2" w:rsidRDefault="004B5BEA" w:rsidP="00A512E1">
            <w:pPr>
              <w:rPr>
                <w:sz w:val="20"/>
                <w:szCs w:val="20"/>
              </w:rPr>
            </w:pPr>
            <w:r>
              <w:rPr>
                <w:sz w:val="20"/>
                <w:szCs w:val="20"/>
              </w:rPr>
              <w:t>Хранение ценных бумаг в АО «Центральный депозитарий ценных бумаг»</w:t>
            </w:r>
            <w:r w:rsidRPr="00E6195A">
              <w:rPr>
                <w:sz w:val="20"/>
                <w:szCs w:val="20"/>
              </w:rPr>
              <w:t xml:space="preserve"> / </w:t>
            </w:r>
            <w:r>
              <w:rPr>
                <w:sz w:val="20"/>
                <w:szCs w:val="20"/>
                <w:lang w:val="en-US"/>
              </w:rPr>
              <w:t>AIX</w:t>
            </w:r>
            <w:r w:rsidRPr="00E6195A">
              <w:rPr>
                <w:sz w:val="20"/>
                <w:szCs w:val="20"/>
              </w:rPr>
              <w:t xml:space="preserve"> </w:t>
            </w:r>
            <w:r>
              <w:rPr>
                <w:sz w:val="20"/>
                <w:szCs w:val="20"/>
                <w:lang w:val="en-US"/>
              </w:rPr>
              <w:t>CSD</w:t>
            </w:r>
            <w:r>
              <w:rPr>
                <w:sz w:val="20"/>
                <w:szCs w:val="20"/>
              </w:rPr>
              <w:t xml:space="preserve"> - от объема активов</w:t>
            </w:r>
          </w:p>
        </w:tc>
        <w:tc>
          <w:tcPr>
            <w:tcW w:w="5245" w:type="dxa"/>
            <w:tcBorders>
              <w:top w:val="nil"/>
              <w:left w:val="nil"/>
              <w:bottom w:val="single" w:sz="4" w:space="0" w:color="auto"/>
              <w:right w:val="single" w:sz="4" w:space="0" w:color="auto"/>
            </w:tcBorders>
            <w:shd w:val="clear" w:color="auto" w:fill="auto"/>
            <w:vAlign w:val="center"/>
          </w:tcPr>
          <w:p w14:paraId="18F8D8EA" w14:textId="77777777" w:rsidR="004B5BEA" w:rsidRPr="00B87B04" w:rsidRDefault="004B5BEA" w:rsidP="00A512E1">
            <w:pPr>
              <w:rPr>
                <w:sz w:val="20"/>
                <w:szCs w:val="20"/>
              </w:rPr>
            </w:pPr>
            <w:r>
              <w:rPr>
                <w:sz w:val="20"/>
                <w:szCs w:val="20"/>
              </w:rPr>
              <w:t>0,06% годовых</w:t>
            </w:r>
          </w:p>
        </w:tc>
      </w:tr>
      <w:tr w:rsidR="004B5BEA" w:rsidRPr="006A72B2" w14:paraId="189DBB80" w14:textId="77777777" w:rsidTr="00A512E1">
        <w:trPr>
          <w:trHeight w:val="411"/>
        </w:trPr>
        <w:tc>
          <w:tcPr>
            <w:tcW w:w="4962" w:type="dxa"/>
            <w:tcBorders>
              <w:top w:val="nil"/>
              <w:left w:val="single" w:sz="8" w:space="0" w:color="auto"/>
              <w:bottom w:val="single" w:sz="4" w:space="0" w:color="auto"/>
              <w:right w:val="single" w:sz="4" w:space="0" w:color="auto"/>
            </w:tcBorders>
            <w:shd w:val="clear" w:color="auto" w:fill="auto"/>
            <w:vAlign w:val="center"/>
          </w:tcPr>
          <w:p w14:paraId="1028932B" w14:textId="77777777" w:rsidR="004B5BEA" w:rsidRDefault="004B5BEA" w:rsidP="00A512E1">
            <w:pPr>
              <w:rPr>
                <w:sz w:val="20"/>
                <w:szCs w:val="20"/>
              </w:rPr>
            </w:pPr>
            <w:r>
              <w:rPr>
                <w:sz w:val="20"/>
                <w:szCs w:val="20"/>
              </w:rPr>
              <w:t xml:space="preserve">Хранение ценных бумаг в банках </w:t>
            </w:r>
            <w:proofErr w:type="spellStart"/>
            <w:r>
              <w:rPr>
                <w:sz w:val="20"/>
                <w:szCs w:val="20"/>
              </w:rPr>
              <w:t>кастодианах</w:t>
            </w:r>
            <w:proofErr w:type="spellEnd"/>
            <w:r>
              <w:rPr>
                <w:sz w:val="20"/>
                <w:szCs w:val="20"/>
              </w:rPr>
              <w:t xml:space="preserve"> - от объема активов</w:t>
            </w:r>
          </w:p>
        </w:tc>
        <w:tc>
          <w:tcPr>
            <w:tcW w:w="5245" w:type="dxa"/>
            <w:tcBorders>
              <w:top w:val="nil"/>
              <w:left w:val="nil"/>
              <w:bottom w:val="single" w:sz="4" w:space="0" w:color="auto"/>
              <w:right w:val="single" w:sz="4" w:space="0" w:color="auto"/>
            </w:tcBorders>
            <w:shd w:val="clear" w:color="auto" w:fill="auto"/>
            <w:vAlign w:val="center"/>
          </w:tcPr>
          <w:p w14:paraId="7FA2838D" w14:textId="77777777" w:rsidR="004B5BEA" w:rsidRPr="00B87B04" w:rsidRDefault="004B5BEA" w:rsidP="00A512E1">
            <w:pPr>
              <w:rPr>
                <w:sz w:val="20"/>
                <w:szCs w:val="20"/>
              </w:rPr>
            </w:pPr>
            <w:r>
              <w:rPr>
                <w:sz w:val="20"/>
                <w:szCs w:val="20"/>
              </w:rPr>
              <w:t>0,3% годовых</w:t>
            </w:r>
          </w:p>
        </w:tc>
      </w:tr>
      <w:tr w:rsidR="004B5BEA" w:rsidRPr="006A72B2" w14:paraId="2E66D632" w14:textId="77777777" w:rsidTr="00A512E1">
        <w:trPr>
          <w:trHeight w:val="411"/>
        </w:trPr>
        <w:tc>
          <w:tcPr>
            <w:tcW w:w="4962" w:type="dxa"/>
            <w:tcBorders>
              <w:top w:val="nil"/>
              <w:left w:val="single" w:sz="8" w:space="0" w:color="auto"/>
              <w:bottom w:val="single" w:sz="4" w:space="0" w:color="auto"/>
              <w:right w:val="single" w:sz="4" w:space="0" w:color="auto"/>
            </w:tcBorders>
            <w:shd w:val="clear" w:color="auto" w:fill="auto"/>
            <w:vAlign w:val="center"/>
          </w:tcPr>
          <w:p w14:paraId="762ED9F7" w14:textId="77777777" w:rsidR="004B5BEA" w:rsidRDefault="004B5BEA" w:rsidP="00A512E1">
            <w:pPr>
              <w:rPr>
                <w:sz w:val="20"/>
                <w:szCs w:val="20"/>
              </w:rPr>
            </w:pPr>
            <w:r>
              <w:rPr>
                <w:sz w:val="20"/>
                <w:szCs w:val="20"/>
              </w:rPr>
              <w:t xml:space="preserve">Хранение ценных бумаг в зарубежных </w:t>
            </w:r>
            <w:proofErr w:type="spellStart"/>
            <w:r>
              <w:rPr>
                <w:sz w:val="20"/>
                <w:szCs w:val="20"/>
              </w:rPr>
              <w:t>кастодианах</w:t>
            </w:r>
            <w:proofErr w:type="spellEnd"/>
            <w:r>
              <w:rPr>
                <w:sz w:val="20"/>
                <w:szCs w:val="20"/>
              </w:rPr>
              <w:t xml:space="preserve"> – от объёма активов</w:t>
            </w:r>
          </w:p>
        </w:tc>
        <w:tc>
          <w:tcPr>
            <w:tcW w:w="5245" w:type="dxa"/>
            <w:tcBorders>
              <w:top w:val="nil"/>
              <w:left w:val="nil"/>
              <w:bottom w:val="single" w:sz="4" w:space="0" w:color="auto"/>
              <w:right w:val="single" w:sz="4" w:space="0" w:color="auto"/>
            </w:tcBorders>
            <w:shd w:val="clear" w:color="auto" w:fill="auto"/>
            <w:vAlign w:val="center"/>
          </w:tcPr>
          <w:p w14:paraId="7E6CC8F8" w14:textId="77777777" w:rsidR="004B5BEA" w:rsidRDefault="004B5BEA" w:rsidP="00A512E1">
            <w:pPr>
              <w:rPr>
                <w:sz w:val="20"/>
                <w:szCs w:val="20"/>
              </w:rPr>
            </w:pPr>
            <w:r>
              <w:rPr>
                <w:sz w:val="20"/>
                <w:szCs w:val="20"/>
              </w:rPr>
              <w:t>0,2% годовых</w:t>
            </w:r>
          </w:p>
        </w:tc>
      </w:tr>
      <w:tr w:rsidR="004B5BEA" w:rsidRPr="006A72B2" w14:paraId="76D628BA" w14:textId="77777777" w:rsidTr="00A512E1">
        <w:trPr>
          <w:trHeight w:val="423"/>
        </w:trPr>
        <w:tc>
          <w:tcPr>
            <w:tcW w:w="10207" w:type="dxa"/>
            <w:gridSpan w:val="2"/>
            <w:tcBorders>
              <w:top w:val="nil"/>
              <w:left w:val="single" w:sz="8" w:space="0" w:color="auto"/>
              <w:bottom w:val="single" w:sz="4" w:space="0" w:color="auto"/>
              <w:right w:val="single" w:sz="4" w:space="0" w:color="auto"/>
            </w:tcBorders>
            <w:shd w:val="clear" w:color="auto" w:fill="0070C0"/>
            <w:vAlign w:val="center"/>
          </w:tcPr>
          <w:p w14:paraId="3A33F8A2" w14:textId="77777777" w:rsidR="004B5BEA" w:rsidRPr="00B87B04" w:rsidRDefault="004B5BEA" w:rsidP="00A512E1">
            <w:pPr>
              <w:jc w:val="center"/>
              <w:rPr>
                <w:sz w:val="20"/>
                <w:szCs w:val="20"/>
              </w:rPr>
            </w:pPr>
            <w:r w:rsidRPr="00B87B04">
              <w:rPr>
                <w:b/>
                <w:color w:val="FFFFFF"/>
                <w:sz w:val="20"/>
                <w:szCs w:val="20"/>
              </w:rPr>
              <w:t>Брокерские услуги</w:t>
            </w:r>
          </w:p>
        </w:tc>
      </w:tr>
      <w:tr w:rsidR="004B5BEA" w:rsidRPr="006A72B2" w14:paraId="471B067F" w14:textId="77777777" w:rsidTr="00A512E1">
        <w:trPr>
          <w:trHeight w:val="663"/>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10E56B86" w14:textId="77777777" w:rsidR="004B5BEA" w:rsidRDefault="004B5BEA" w:rsidP="00A512E1">
            <w:pPr>
              <w:rPr>
                <w:sz w:val="20"/>
                <w:szCs w:val="20"/>
              </w:rPr>
            </w:pPr>
            <w:r w:rsidRPr="006A72B2">
              <w:rPr>
                <w:sz w:val="20"/>
                <w:szCs w:val="20"/>
              </w:rPr>
              <w:t xml:space="preserve">Покупка/продажа финансовых инструментов на </w:t>
            </w:r>
            <w:r>
              <w:rPr>
                <w:sz w:val="20"/>
                <w:szCs w:val="20"/>
              </w:rPr>
              <w:t>локальных рынках - от суммы сделки</w:t>
            </w:r>
          </w:p>
          <w:p w14:paraId="4C5AA236" w14:textId="77777777" w:rsidR="004B5BEA" w:rsidRPr="00AD1163" w:rsidRDefault="004B5BEA" w:rsidP="00A512E1">
            <w:pPr>
              <w:rPr>
                <w:sz w:val="20"/>
                <w:szCs w:val="20"/>
              </w:rPr>
            </w:pPr>
          </w:p>
        </w:tc>
        <w:tc>
          <w:tcPr>
            <w:tcW w:w="5245" w:type="dxa"/>
            <w:tcBorders>
              <w:top w:val="nil"/>
              <w:left w:val="nil"/>
              <w:bottom w:val="single" w:sz="4" w:space="0" w:color="auto"/>
              <w:right w:val="single" w:sz="4" w:space="0" w:color="auto"/>
            </w:tcBorders>
            <w:shd w:val="clear" w:color="auto" w:fill="auto"/>
            <w:vAlign w:val="center"/>
            <w:hideMark/>
          </w:tcPr>
          <w:p w14:paraId="4C0DC3BD" w14:textId="77777777" w:rsidR="004B5BEA" w:rsidRPr="006A72B2" w:rsidRDefault="004B5BEA" w:rsidP="00A512E1">
            <w:pPr>
              <w:spacing w:before="120"/>
              <w:rPr>
                <w:sz w:val="20"/>
                <w:szCs w:val="20"/>
              </w:rPr>
            </w:pPr>
            <w:r>
              <w:rPr>
                <w:sz w:val="20"/>
                <w:szCs w:val="20"/>
              </w:rPr>
              <w:t>0,1</w:t>
            </w:r>
            <w:r w:rsidRPr="00C000F6">
              <w:rPr>
                <w:sz w:val="20"/>
                <w:szCs w:val="20"/>
              </w:rPr>
              <w:t>%,</w:t>
            </w:r>
            <w:r>
              <w:rPr>
                <w:sz w:val="20"/>
                <w:szCs w:val="20"/>
              </w:rPr>
              <w:t xml:space="preserve"> </w:t>
            </w:r>
            <w:r w:rsidRPr="00C000F6">
              <w:rPr>
                <w:sz w:val="20"/>
                <w:szCs w:val="20"/>
              </w:rPr>
              <w:t>не менее 1 МРП</w:t>
            </w:r>
          </w:p>
        </w:tc>
      </w:tr>
      <w:tr w:rsidR="004B5BEA" w:rsidRPr="006A72B2" w14:paraId="3ADCD549" w14:textId="77777777" w:rsidTr="00A512E1">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2D511FF" w14:textId="77777777" w:rsidR="004B5BEA" w:rsidRPr="00CD7B51" w:rsidRDefault="004B5BEA" w:rsidP="00A512E1">
            <w:pPr>
              <w:rPr>
                <w:sz w:val="20"/>
                <w:szCs w:val="20"/>
              </w:rPr>
            </w:pPr>
            <w:r>
              <w:rPr>
                <w:sz w:val="20"/>
                <w:szCs w:val="20"/>
              </w:rPr>
              <w:lastRenderedPageBreak/>
              <w:t>Покупка/продажа долевых финансовых инструментов на американском рынке – от суммы сделки</w:t>
            </w:r>
          </w:p>
        </w:tc>
        <w:tc>
          <w:tcPr>
            <w:tcW w:w="5245" w:type="dxa"/>
            <w:tcBorders>
              <w:top w:val="single" w:sz="4" w:space="0" w:color="auto"/>
              <w:left w:val="nil"/>
              <w:bottom w:val="single" w:sz="4" w:space="0" w:color="auto"/>
              <w:right w:val="single" w:sz="4" w:space="0" w:color="auto"/>
            </w:tcBorders>
            <w:shd w:val="clear" w:color="auto" w:fill="auto"/>
            <w:vAlign w:val="center"/>
          </w:tcPr>
          <w:p w14:paraId="732057FF" w14:textId="77777777" w:rsidR="004B5BEA" w:rsidRPr="00B93937" w:rsidRDefault="004B5BEA" w:rsidP="00A512E1">
            <w:pPr>
              <w:rPr>
                <w:sz w:val="20"/>
                <w:szCs w:val="20"/>
              </w:rPr>
            </w:pPr>
            <w:r>
              <w:rPr>
                <w:sz w:val="20"/>
                <w:szCs w:val="20"/>
              </w:rPr>
              <w:t>0,15%, не менее 4 МРП</w:t>
            </w:r>
          </w:p>
        </w:tc>
      </w:tr>
      <w:tr w:rsidR="004B5BEA" w:rsidRPr="006A72B2" w14:paraId="0E9F2005" w14:textId="77777777" w:rsidTr="00A512E1">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4EF30E7" w14:textId="77777777" w:rsidR="004B5BEA" w:rsidRPr="00CD7B51" w:rsidRDefault="004B5BEA" w:rsidP="00A512E1">
            <w:pPr>
              <w:rPr>
                <w:sz w:val="20"/>
                <w:szCs w:val="20"/>
              </w:rPr>
            </w:pPr>
            <w:r>
              <w:rPr>
                <w:sz w:val="20"/>
                <w:szCs w:val="20"/>
              </w:rPr>
              <w:t>Покупка/продажа долговых финансовых инструментов, выпущенных Министерством финансов США – от суммы сделки</w:t>
            </w:r>
          </w:p>
        </w:tc>
        <w:tc>
          <w:tcPr>
            <w:tcW w:w="5245" w:type="dxa"/>
            <w:tcBorders>
              <w:top w:val="single" w:sz="4" w:space="0" w:color="auto"/>
              <w:left w:val="nil"/>
              <w:bottom w:val="single" w:sz="4" w:space="0" w:color="auto"/>
              <w:right w:val="single" w:sz="4" w:space="0" w:color="auto"/>
            </w:tcBorders>
            <w:shd w:val="clear" w:color="auto" w:fill="auto"/>
            <w:vAlign w:val="center"/>
          </w:tcPr>
          <w:p w14:paraId="2733F087" w14:textId="77777777" w:rsidR="004B5BEA" w:rsidRPr="00B93937" w:rsidRDefault="004B5BEA" w:rsidP="00A512E1">
            <w:pPr>
              <w:rPr>
                <w:sz w:val="20"/>
                <w:szCs w:val="20"/>
              </w:rPr>
            </w:pPr>
            <w:r>
              <w:rPr>
                <w:sz w:val="20"/>
                <w:szCs w:val="20"/>
              </w:rPr>
              <w:t>0,15%, не менее 25 МРП</w:t>
            </w:r>
          </w:p>
        </w:tc>
      </w:tr>
      <w:tr w:rsidR="004B5BEA" w:rsidRPr="006A72B2" w14:paraId="14B60042" w14:textId="77777777" w:rsidTr="00A512E1">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2368" w14:textId="77777777" w:rsidR="004B5BEA" w:rsidRPr="006A72B2" w:rsidRDefault="004B5BEA" w:rsidP="00A512E1">
            <w:pPr>
              <w:rPr>
                <w:sz w:val="20"/>
                <w:szCs w:val="20"/>
              </w:rPr>
            </w:pPr>
            <w:r w:rsidRPr="00CD7B51">
              <w:rPr>
                <w:sz w:val="20"/>
                <w:szCs w:val="20"/>
              </w:rPr>
              <w:t>Покупка/продажа финансовых инструментов</w:t>
            </w:r>
            <w:r>
              <w:rPr>
                <w:sz w:val="20"/>
                <w:szCs w:val="20"/>
              </w:rPr>
              <w:t xml:space="preserve"> (долевые и долговые)</w:t>
            </w:r>
            <w:r w:rsidRPr="00CD7B51">
              <w:rPr>
                <w:sz w:val="20"/>
                <w:szCs w:val="20"/>
              </w:rPr>
              <w:t xml:space="preserve"> на внебиржевом/международном рынке</w:t>
            </w:r>
            <w:r>
              <w:rPr>
                <w:sz w:val="20"/>
                <w:szCs w:val="20"/>
              </w:rPr>
              <w:t xml:space="preserve"> </w:t>
            </w:r>
            <w:r w:rsidRPr="00CD7B51">
              <w:rPr>
                <w:sz w:val="20"/>
                <w:szCs w:val="20"/>
              </w:rPr>
              <w:t>– от суммы сделки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06FA1D" w14:textId="77777777" w:rsidR="004B5BEA" w:rsidRPr="00CA38D9" w:rsidRDefault="004B5BEA" w:rsidP="00A512E1">
            <w:pPr>
              <w:rPr>
                <w:sz w:val="20"/>
                <w:szCs w:val="20"/>
              </w:rPr>
            </w:pPr>
            <w:r w:rsidRPr="00B93937">
              <w:rPr>
                <w:sz w:val="20"/>
                <w:szCs w:val="20"/>
              </w:rPr>
              <w:t>0,</w:t>
            </w:r>
            <w:r>
              <w:rPr>
                <w:sz w:val="20"/>
                <w:szCs w:val="20"/>
              </w:rPr>
              <w:t>25</w:t>
            </w:r>
            <w:r w:rsidRPr="00B93937">
              <w:rPr>
                <w:sz w:val="20"/>
                <w:szCs w:val="20"/>
              </w:rPr>
              <w:t xml:space="preserve">%, не менее </w:t>
            </w:r>
            <w:r>
              <w:rPr>
                <w:sz w:val="20"/>
                <w:szCs w:val="20"/>
              </w:rPr>
              <w:t>7</w:t>
            </w:r>
            <w:r w:rsidRPr="00B93937">
              <w:rPr>
                <w:sz w:val="20"/>
                <w:szCs w:val="20"/>
              </w:rPr>
              <w:t xml:space="preserve"> МРП</w:t>
            </w:r>
            <w:r>
              <w:rPr>
                <w:sz w:val="20"/>
                <w:szCs w:val="20"/>
              </w:rPr>
              <w:t xml:space="preserve"> </w:t>
            </w:r>
          </w:p>
        </w:tc>
      </w:tr>
      <w:tr w:rsidR="004B5BEA" w:rsidRPr="006A72B2" w14:paraId="5B7E76C4" w14:textId="77777777" w:rsidTr="00A512E1">
        <w:trPr>
          <w:trHeight w:val="859"/>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5348FA9" w14:textId="77777777" w:rsidR="004B5BEA" w:rsidRPr="006A72B2" w:rsidRDefault="004B5BEA" w:rsidP="00A512E1">
            <w:pPr>
              <w:spacing w:before="120" w:after="120"/>
              <w:rPr>
                <w:sz w:val="20"/>
                <w:szCs w:val="20"/>
              </w:rPr>
            </w:pPr>
            <w:r w:rsidRPr="006A72B2">
              <w:rPr>
                <w:sz w:val="20"/>
                <w:szCs w:val="20"/>
              </w:rPr>
              <w:t>Сделки РЕПО</w:t>
            </w:r>
          </w:p>
          <w:p w14:paraId="6C781C43" w14:textId="77777777" w:rsidR="004B5BEA" w:rsidRDefault="004B5BEA" w:rsidP="00A512E1">
            <w:pPr>
              <w:rPr>
                <w:sz w:val="20"/>
                <w:szCs w:val="20"/>
              </w:rPr>
            </w:pPr>
            <w:r w:rsidRPr="006A72B2">
              <w:rPr>
                <w:sz w:val="20"/>
                <w:szCs w:val="20"/>
              </w:rPr>
              <w:t>при операции обратного РЕПО (размещение денежных средств) – в процентах от дохода клиента;</w:t>
            </w:r>
          </w:p>
          <w:p w14:paraId="56E11652" w14:textId="77777777" w:rsidR="004B5BEA" w:rsidRDefault="004B5BEA" w:rsidP="00A512E1">
            <w:pPr>
              <w:rPr>
                <w:sz w:val="20"/>
                <w:szCs w:val="20"/>
              </w:rPr>
            </w:pPr>
          </w:p>
          <w:p w14:paraId="14223BDB" w14:textId="77777777" w:rsidR="004B5BEA" w:rsidRPr="00424420" w:rsidDel="00F33065" w:rsidRDefault="004B5BEA" w:rsidP="00A512E1">
            <w:pPr>
              <w:rPr>
                <w:sz w:val="20"/>
                <w:szCs w:val="20"/>
              </w:rPr>
            </w:pPr>
            <w:r w:rsidRPr="006A72B2">
              <w:rPr>
                <w:sz w:val="20"/>
                <w:szCs w:val="20"/>
              </w:rPr>
              <w:t>при операции РЕПО (привлечение денежных средств) – в процентах от разницы между объемом закрытия и открытия</w:t>
            </w:r>
          </w:p>
        </w:tc>
        <w:tc>
          <w:tcPr>
            <w:tcW w:w="5245" w:type="dxa"/>
            <w:tcBorders>
              <w:top w:val="single" w:sz="4" w:space="0" w:color="auto"/>
              <w:left w:val="nil"/>
              <w:bottom w:val="single" w:sz="4" w:space="0" w:color="auto"/>
              <w:right w:val="single" w:sz="4" w:space="0" w:color="auto"/>
            </w:tcBorders>
            <w:shd w:val="clear" w:color="auto" w:fill="auto"/>
          </w:tcPr>
          <w:p w14:paraId="005F01E6" w14:textId="77777777" w:rsidR="004B5BEA" w:rsidRDefault="004B5BEA" w:rsidP="00A512E1">
            <w:pPr>
              <w:jc w:val="both"/>
              <w:rPr>
                <w:sz w:val="20"/>
                <w:szCs w:val="20"/>
              </w:rPr>
            </w:pPr>
          </w:p>
          <w:p w14:paraId="57D89704" w14:textId="77777777" w:rsidR="004B5BEA" w:rsidRDefault="004B5BEA" w:rsidP="00A512E1">
            <w:pPr>
              <w:jc w:val="both"/>
              <w:rPr>
                <w:sz w:val="20"/>
                <w:szCs w:val="20"/>
              </w:rPr>
            </w:pPr>
          </w:p>
          <w:p w14:paraId="2B2652B7" w14:textId="77777777" w:rsidR="004B5BEA" w:rsidRDefault="004B5BEA" w:rsidP="00A512E1">
            <w:pPr>
              <w:jc w:val="both"/>
              <w:rPr>
                <w:sz w:val="20"/>
                <w:szCs w:val="20"/>
              </w:rPr>
            </w:pPr>
            <w:r w:rsidRPr="006A72B2">
              <w:rPr>
                <w:sz w:val="20"/>
                <w:szCs w:val="20"/>
              </w:rPr>
              <w:t xml:space="preserve">0,5%, </w:t>
            </w:r>
            <w:r>
              <w:rPr>
                <w:sz w:val="20"/>
                <w:szCs w:val="20"/>
              </w:rPr>
              <w:t>от суммы дохода в рамках одного клиентского</w:t>
            </w:r>
            <w:r w:rsidRPr="00FF3231">
              <w:rPr>
                <w:sz w:val="20"/>
                <w:szCs w:val="20"/>
              </w:rPr>
              <w:t xml:space="preserve"> </w:t>
            </w:r>
            <w:r>
              <w:rPr>
                <w:sz w:val="20"/>
                <w:szCs w:val="20"/>
              </w:rPr>
              <w:t xml:space="preserve">заказа, </w:t>
            </w:r>
            <w:r w:rsidRPr="006A72B2">
              <w:rPr>
                <w:sz w:val="20"/>
                <w:szCs w:val="20"/>
              </w:rPr>
              <w:t xml:space="preserve">не менее 2 МРП </w:t>
            </w:r>
          </w:p>
          <w:p w14:paraId="78400BAC" w14:textId="77777777" w:rsidR="004B5BEA" w:rsidRDefault="004B5BEA" w:rsidP="00A512E1">
            <w:pPr>
              <w:jc w:val="both"/>
              <w:rPr>
                <w:sz w:val="20"/>
                <w:szCs w:val="20"/>
              </w:rPr>
            </w:pPr>
          </w:p>
          <w:p w14:paraId="4C0CB37B" w14:textId="77777777" w:rsidR="004B5BEA" w:rsidRDefault="004B5BEA" w:rsidP="00A512E1">
            <w:pPr>
              <w:jc w:val="both"/>
              <w:rPr>
                <w:sz w:val="20"/>
                <w:szCs w:val="20"/>
              </w:rPr>
            </w:pPr>
          </w:p>
          <w:p w14:paraId="1E4E420A" w14:textId="77777777" w:rsidR="004B5BEA" w:rsidRDefault="004B5BEA" w:rsidP="00A512E1">
            <w:pPr>
              <w:jc w:val="both"/>
              <w:rPr>
                <w:sz w:val="20"/>
                <w:szCs w:val="20"/>
              </w:rPr>
            </w:pPr>
          </w:p>
          <w:p w14:paraId="3B4830A1" w14:textId="77777777" w:rsidR="004B5BEA" w:rsidRPr="00424420" w:rsidDel="00F33065" w:rsidRDefault="004B5BEA" w:rsidP="00A512E1">
            <w:pPr>
              <w:jc w:val="both"/>
              <w:rPr>
                <w:sz w:val="20"/>
                <w:szCs w:val="20"/>
              </w:rPr>
            </w:pPr>
            <w:r>
              <w:rPr>
                <w:sz w:val="20"/>
                <w:szCs w:val="20"/>
              </w:rPr>
              <w:t>1</w:t>
            </w:r>
            <w:r w:rsidRPr="006A72B2">
              <w:rPr>
                <w:sz w:val="20"/>
                <w:szCs w:val="20"/>
              </w:rPr>
              <w:t>%,</w:t>
            </w:r>
            <w:r>
              <w:rPr>
                <w:sz w:val="20"/>
                <w:szCs w:val="20"/>
              </w:rPr>
              <w:t xml:space="preserve"> от суммы дохода в рамках одного клиентского</w:t>
            </w:r>
            <w:r w:rsidRPr="00FF3231">
              <w:rPr>
                <w:sz w:val="20"/>
                <w:szCs w:val="20"/>
              </w:rPr>
              <w:t xml:space="preserve"> </w:t>
            </w:r>
            <w:r>
              <w:rPr>
                <w:sz w:val="20"/>
                <w:szCs w:val="20"/>
              </w:rPr>
              <w:t>заказа,</w:t>
            </w:r>
            <w:r w:rsidRPr="006A72B2">
              <w:rPr>
                <w:sz w:val="20"/>
                <w:szCs w:val="20"/>
              </w:rPr>
              <w:t xml:space="preserve"> не менее 2 МРП </w:t>
            </w:r>
          </w:p>
        </w:tc>
      </w:tr>
      <w:tr w:rsidR="004B5BEA" w:rsidRPr="006A72B2" w14:paraId="196EF0E7" w14:textId="77777777" w:rsidTr="00A512E1">
        <w:trPr>
          <w:trHeight w:val="507"/>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1D9F14B9" w14:textId="77777777" w:rsidR="004B5BEA" w:rsidRPr="00424420" w:rsidDel="00F33065" w:rsidRDefault="004B5BEA" w:rsidP="00A512E1">
            <w:pPr>
              <w:rPr>
                <w:sz w:val="20"/>
                <w:szCs w:val="20"/>
              </w:rPr>
            </w:pPr>
            <w:r>
              <w:rPr>
                <w:sz w:val="20"/>
                <w:szCs w:val="20"/>
              </w:rPr>
              <w:t>Конвертация денежных средств на бирже – от объёма конвертации</w:t>
            </w:r>
          </w:p>
        </w:tc>
        <w:tc>
          <w:tcPr>
            <w:tcW w:w="5245" w:type="dxa"/>
            <w:tcBorders>
              <w:top w:val="single" w:sz="4" w:space="0" w:color="auto"/>
              <w:left w:val="nil"/>
              <w:bottom w:val="single" w:sz="4" w:space="0" w:color="auto"/>
              <w:right w:val="single" w:sz="4" w:space="0" w:color="auto"/>
            </w:tcBorders>
            <w:shd w:val="clear" w:color="auto" w:fill="auto"/>
          </w:tcPr>
          <w:p w14:paraId="7AEAB6AC" w14:textId="77777777" w:rsidR="004B5BEA" w:rsidRPr="00424420" w:rsidDel="00F33065" w:rsidRDefault="004B5BEA" w:rsidP="00A512E1">
            <w:pPr>
              <w:jc w:val="both"/>
              <w:rPr>
                <w:sz w:val="20"/>
                <w:szCs w:val="20"/>
              </w:rPr>
            </w:pPr>
            <w:r>
              <w:rPr>
                <w:sz w:val="20"/>
                <w:szCs w:val="20"/>
              </w:rPr>
              <w:t>0,05% от суммы сделки, не менее 1 МРП</w:t>
            </w:r>
          </w:p>
        </w:tc>
      </w:tr>
      <w:tr w:rsidR="004B5BEA" w:rsidRPr="006A72B2" w14:paraId="2B3517DF" w14:textId="77777777" w:rsidTr="00A512E1">
        <w:trPr>
          <w:trHeight w:val="50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01C90AE" w14:textId="77777777" w:rsidR="004B5BEA" w:rsidRDefault="004B5BEA" w:rsidP="00A512E1">
            <w:pPr>
              <w:rPr>
                <w:sz w:val="20"/>
                <w:szCs w:val="20"/>
              </w:rPr>
            </w:pPr>
            <w:r>
              <w:rPr>
                <w:sz w:val="20"/>
                <w:szCs w:val="20"/>
              </w:rPr>
              <w:t xml:space="preserve">Операции валютного свопа на </w:t>
            </w:r>
            <w:r>
              <w:rPr>
                <w:sz w:val="20"/>
                <w:szCs w:val="20"/>
                <w:lang w:val="en-US"/>
              </w:rPr>
              <w:t>KASE</w:t>
            </w:r>
          </w:p>
        </w:tc>
        <w:tc>
          <w:tcPr>
            <w:tcW w:w="5245" w:type="dxa"/>
            <w:tcBorders>
              <w:top w:val="single" w:sz="4" w:space="0" w:color="auto"/>
              <w:left w:val="nil"/>
              <w:bottom w:val="single" w:sz="4" w:space="0" w:color="auto"/>
              <w:right w:val="single" w:sz="4" w:space="0" w:color="auto"/>
            </w:tcBorders>
            <w:shd w:val="clear" w:color="auto" w:fill="auto"/>
            <w:vAlign w:val="center"/>
          </w:tcPr>
          <w:p w14:paraId="72E736FA" w14:textId="77777777" w:rsidR="004B5BEA" w:rsidRPr="00050045" w:rsidRDefault="004B5BEA" w:rsidP="00A512E1">
            <w:pPr>
              <w:jc w:val="both"/>
              <w:rPr>
                <w:sz w:val="20"/>
                <w:szCs w:val="20"/>
              </w:rPr>
            </w:pPr>
            <w:r w:rsidRPr="0020092D">
              <w:rPr>
                <w:sz w:val="20"/>
                <w:szCs w:val="20"/>
              </w:rPr>
              <w:t>0</w:t>
            </w:r>
            <w:r>
              <w:rPr>
                <w:sz w:val="20"/>
                <w:szCs w:val="20"/>
              </w:rPr>
              <w:t>,05% от суммы сделки, не менее 1 МРП</w:t>
            </w:r>
          </w:p>
        </w:tc>
      </w:tr>
      <w:tr w:rsidR="004B5BEA" w:rsidRPr="006A72B2" w14:paraId="2E2FA651" w14:textId="77777777" w:rsidTr="00A512E1">
        <w:trPr>
          <w:trHeight w:val="50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EE19403" w14:textId="77777777" w:rsidR="004B5BEA" w:rsidRDefault="004B5BEA" w:rsidP="00A512E1">
            <w:pPr>
              <w:rPr>
                <w:sz w:val="20"/>
                <w:szCs w:val="20"/>
              </w:rPr>
            </w:pPr>
            <w:r>
              <w:rPr>
                <w:sz w:val="20"/>
                <w:szCs w:val="20"/>
              </w:rPr>
              <w:t>Конвертация денежных средств на внебиржевом рынке – от объёма операции</w:t>
            </w:r>
          </w:p>
        </w:tc>
        <w:tc>
          <w:tcPr>
            <w:tcW w:w="5245" w:type="dxa"/>
            <w:tcBorders>
              <w:top w:val="single" w:sz="4" w:space="0" w:color="auto"/>
              <w:left w:val="nil"/>
              <w:bottom w:val="single" w:sz="4" w:space="0" w:color="auto"/>
              <w:right w:val="single" w:sz="4" w:space="0" w:color="auto"/>
            </w:tcBorders>
            <w:shd w:val="clear" w:color="auto" w:fill="auto"/>
            <w:vAlign w:val="center"/>
          </w:tcPr>
          <w:p w14:paraId="1EF8144E" w14:textId="77777777" w:rsidR="004B5BEA" w:rsidRDefault="004B5BEA" w:rsidP="00A512E1">
            <w:pPr>
              <w:jc w:val="both"/>
              <w:rPr>
                <w:sz w:val="20"/>
                <w:szCs w:val="20"/>
              </w:rPr>
            </w:pPr>
            <w:r>
              <w:rPr>
                <w:sz w:val="20"/>
                <w:szCs w:val="20"/>
              </w:rPr>
              <w:t>0,1% от суммы сделки, не менее 5 МРП</w:t>
            </w:r>
          </w:p>
        </w:tc>
      </w:tr>
    </w:tbl>
    <w:p w14:paraId="750C2AD1" w14:textId="77777777" w:rsidR="004B5BEA" w:rsidRDefault="004B5BEA" w:rsidP="004B5BEA">
      <w:pPr>
        <w:jc w:val="center"/>
        <w:rPr>
          <w:color w:val="152C52"/>
          <w:sz w:val="22"/>
          <w:szCs w:val="22"/>
        </w:rPr>
      </w:pPr>
    </w:p>
    <w:p w14:paraId="6ED3995F" w14:textId="77777777" w:rsidR="004B5BEA" w:rsidRDefault="004B5BEA" w:rsidP="004B5BEA">
      <w:pPr>
        <w:spacing w:before="120" w:after="60"/>
        <w:ind w:left="-142"/>
        <w:rPr>
          <w:b/>
          <w:bCs/>
          <w:i/>
          <w:iCs/>
          <w:sz w:val="22"/>
          <w:szCs w:val="22"/>
          <w:u w:val="single"/>
        </w:rPr>
      </w:pPr>
      <w:r w:rsidRPr="00307360">
        <w:rPr>
          <w:b/>
          <w:bCs/>
          <w:i/>
          <w:iCs/>
          <w:sz w:val="22"/>
          <w:szCs w:val="22"/>
          <w:u w:val="single"/>
        </w:rPr>
        <w:t>Примечания</w:t>
      </w:r>
    </w:p>
    <w:p w14:paraId="46AFBEAF" w14:textId="77777777" w:rsidR="004B5BEA" w:rsidRPr="009B72CB" w:rsidRDefault="004B5BEA" w:rsidP="004B5BEA">
      <w:pPr>
        <w:numPr>
          <w:ilvl w:val="0"/>
          <w:numId w:val="2"/>
        </w:numPr>
        <w:spacing w:after="120"/>
        <w:ind w:left="-142" w:hanging="357"/>
        <w:jc w:val="both"/>
        <w:rPr>
          <w:bCs/>
          <w:sz w:val="22"/>
          <w:szCs w:val="22"/>
        </w:rPr>
      </w:pPr>
      <w:r w:rsidRPr="009B72CB">
        <w:rPr>
          <w:bCs/>
          <w:sz w:val="22"/>
          <w:szCs w:val="22"/>
        </w:rPr>
        <w:t xml:space="preserve">В расчетах тарифов используется </w:t>
      </w:r>
      <w:r w:rsidRPr="00BB08FC">
        <w:rPr>
          <w:sz w:val="22"/>
          <w:szCs w:val="22"/>
        </w:rPr>
        <w:t xml:space="preserve">месячный расчетный показатель </w:t>
      </w:r>
      <w:r>
        <w:rPr>
          <w:sz w:val="22"/>
          <w:szCs w:val="22"/>
        </w:rPr>
        <w:t>(</w:t>
      </w:r>
      <w:r w:rsidRPr="009B72CB">
        <w:rPr>
          <w:bCs/>
          <w:sz w:val="22"/>
          <w:szCs w:val="22"/>
        </w:rPr>
        <w:t>МРП</w:t>
      </w:r>
      <w:r>
        <w:rPr>
          <w:bCs/>
          <w:sz w:val="22"/>
          <w:szCs w:val="22"/>
        </w:rPr>
        <w:t xml:space="preserve">), </w:t>
      </w:r>
      <w:r w:rsidRPr="00BB08FC">
        <w:rPr>
          <w:bCs/>
          <w:sz w:val="22"/>
          <w:szCs w:val="22"/>
        </w:rPr>
        <w:t>установленный Законом Республики Казахстан «О республиканском бюджете»</w:t>
      </w:r>
      <w:r w:rsidRPr="009B72CB">
        <w:rPr>
          <w:bCs/>
          <w:sz w:val="22"/>
          <w:szCs w:val="22"/>
        </w:rPr>
        <w:t xml:space="preserve"> на соответствующий календарный год.</w:t>
      </w:r>
    </w:p>
    <w:p w14:paraId="5F330C13" w14:textId="77777777" w:rsidR="004B5BEA" w:rsidRPr="007D3981" w:rsidRDefault="004B5BEA" w:rsidP="004B5BEA">
      <w:pPr>
        <w:numPr>
          <w:ilvl w:val="0"/>
          <w:numId w:val="2"/>
        </w:numPr>
        <w:spacing w:after="120"/>
        <w:ind w:left="-142" w:hanging="357"/>
        <w:jc w:val="both"/>
        <w:rPr>
          <w:bCs/>
          <w:sz w:val="22"/>
          <w:szCs w:val="22"/>
        </w:rPr>
      </w:pPr>
      <w:r w:rsidRPr="007D3981">
        <w:rPr>
          <w:bCs/>
          <w:sz w:val="22"/>
          <w:szCs w:val="22"/>
        </w:rPr>
        <w:t xml:space="preserve">Вышеприведенные ставки и тарифы включают ставки и тарифы третьих лиц, </w:t>
      </w:r>
      <w:r>
        <w:rPr>
          <w:bCs/>
          <w:sz w:val="22"/>
          <w:szCs w:val="22"/>
        </w:rPr>
        <w:t>которые являются</w:t>
      </w:r>
      <w:r w:rsidRPr="007D3981">
        <w:rPr>
          <w:bCs/>
          <w:sz w:val="22"/>
          <w:szCs w:val="22"/>
        </w:rPr>
        <w:t xml:space="preserve"> профессиональны</w:t>
      </w:r>
      <w:r>
        <w:rPr>
          <w:bCs/>
          <w:sz w:val="22"/>
          <w:szCs w:val="22"/>
        </w:rPr>
        <w:t>ми</w:t>
      </w:r>
      <w:r w:rsidRPr="007D3981">
        <w:rPr>
          <w:bCs/>
          <w:sz w:val="22"/>
          <w:szCs w:val="22"/>
        </w:rPr>
        <w:t xml:space="preserve"> участник</w:t>
      </w:r>
      <w:r>
        <w:rPr>
          <w:bCs/>
          <w:sz w:val="22"/>
          <w:szCs w:val="22"/>
        </w:rPr>
        <w:t>ами</w:t>
      </w:r>
      <w:r w:rsidRPr="007D3981">
        <w:rPr>
          <w:bCs/>
          <w:sz w:val="22"/>
          <w:szCs w:val="22"/>
        </w:rPr>
        <w:t xml:space="preserve"> рынка</w:t>
      </w:r>
      <w:r>
        <w:rPr>
          <w:bCs/>
          <w:sz w:val="22"/>
          <w:szCs w:val="22"/>
        </w:rPr>
        <w:t xml:space="preserve"> по сделкам и хранению ценных бумаг, а именно:</w:t>
      </w:r>
      <w:r w:rsidRPr="007D3981">
        <w:rPr>
          <w:bCs/>
          <w:sz w:val="22"/>
          <w:szCs w:val="22"/>
        </w:rPr>
        <w:t xml:space="preserve"> </w:t>
      </w:r>
      <w:r>
        <w:rPr>
          <w:bCs/>
          <w:sz w:val="22"/>
          <w:szCs w:val="22"/>
        </w:rPr>
        <w:t>т</w:t>
      </w:r>
      <w:r w:rsidRPr="007D3981">
        <w:rPr>
          <w:bCs/>
          <w:sz w:val="22"/>
          <w:szCs w:val="22"/>
        </w:rPr>
        <w:t>арифы АО «Казахстанская фондовая биржа», АО «Центральный депозитарий ценных бумаг», банков-</w:t>
      </w:r>
      <w:proofErr w:type="spellStart"/>
      <w:r w:rsidRPr="007D3981">
        <w:rPr>
          <w:bCs/>
          <w:sz w:val="22"/>
          <w:szCs w:val="22"/>
        </w:rPr>
        <w:t>кастодианов</w:t>
      </w:r>
      <w:proofErr w:type="spellEnd"/>
      <w:r w:rsidRPr="007D3981">
        <w:rPr>
          <w:bCs/>
          <w:sz w:val="22"/>
          <w:szCs w:val="22"/>
        </w:rPr>
        <w:t>, банков второго уровня, биржи МФЦА, Депозитария МФЦА</w:t>
      </w:r>
      <w:r>
        <w:rPr>
          <w:bCs/>
          <w:sz w:val="22"/>
          <w:szCs w:val="22"/>
        </w:rPr>
        <w:t xml:space="preserve">, </w:t>
      </w:r>
      <w:r w:rsidRPr="007D3981">
        <w:rPr>
          <w:bCs/>
          <w:sz w:val="22"/>
          <w:szCs w:val="22"/>
        </w:rPr>
        <w:t>международных брокеров-посредников</w:t>
      </w:r>
      <w:r>
        <w:rPr>
          <w:bCs/>
          <w:sz w:val="22"/>
          <w:szCs w:val="22"/>
        </w:rPr>
        <w:t xml:space="preserve"> </w:t>
      </w:r>
      <w:r w:rsidRPr="007D3981">
        <w:rPr>
          <w:bCs/>
          <w:sz w:val="22"/>
          <w:szCs w:val="22"/>
        </w:rPr>
        <w:t xml:space="preserve">и иных комиссий, включенных в сумму сделок. </w:t>
      </w:r>
    </w:p>
    <w:p w14:paraId="44632033" w14:textId="77777777" w:rsidR="004B5BEA" w:rsidRPr="00CA0A3C" w:rsidRDefault="004B5BEA" w:rsidP="004B5BEA">
      <w:pPr>
        <w:pStyle w:val="a7"/>
        <w:numPr>
          <w:ilvl w:val="0"/>
          <w:numId w:val="5"/>
        </w:numPr>
        <w:spacing w:after="120"/>
        <w:ind w:left="-142"/>
        <w:jc w:val="both"/>
        <w:rPr>
          <w:bCs/>
          <w:sz w:val="22"/>
          <w:szCs w:val="22"/>
        </w:rPr>
      </w:pPr>
      <w:r w:rsidRPr="00307360">
        <w:rPr>
          <w:bCs/>
          <w:sz w:val="22"/>
          <w:szCs w:val="22"/>
          <w:lang w:val="kk-KZ"/>
        </w:rPr>
        <w:t>Вышеуказанные тарифы не включают</w:t>
      </w:r>
      <w:r w:rsidRPr="00307360">
        <w:rPr>
          <w:bCs/>
          <w:sz w:val="22"/>
          <w:szCs w:val="22"/>
          <w:lang w:val="en-US"/>
        </w:rPr>
        <w:t>:</w:t>
      </w:r>
    </w:p>
    <w:p w14:paraId="29D72290" w14:textId="77777777" w:rsidR="004B5BEA" w:rsidRPr="00CA0A3C" w:rsidRDefault="004B5BEA" w:rsidP="004B5BEA">
      <w:pPr>
        <w:pStyle w:val="a7"/>
        <w:spacing w:after="120"/>
        <w:ind w:left="-142"/>
        <w:jc w:val="both"/>
        <w:rPr>
          <w:bCs/>
          <w:sz w:val="22"/>
          <w:szCs w:val="22"/>
        </w:rPr>
      </w:pPr>
    </w:p>
    <w:p w14:paraId="3D55C694" w14:textId="77777777" w:rsidR="004B5BEA" w:rsidRPr="00E6195A" w:rsidRDefault="004B5BEA" w:rsidP="004B5BEA">
      <w:pPr>
        <w:pStyle w:val="a7"/>
        <w:spacing w:after="120"/>
        <w:ind w:left="-142"/>
        <w:jc w:val="both"/>
        <w:rPr>
          <w:bCs/>
          <w:sz w:val="22"/>
          <w:szCs w:val="22"/>
        </w:rPr>
      </w:pPr>
      <w:r w:rsidRPr="00307360">
        <w:rPr>
          <w:bCs/>
          <w:sz w:val="22"/>
          <w:szCs w:val="22"/>
          <w:lang w:val="kk-KZ"/>
        </w:rPr>
        <w:t>Гербовый сбор (Stamp Duty)</w:t>
      </w:r>
      <w:r w:rsidRPr="00E6195A">
        <w:rPr>
          <w:bCs/>
          <w:sz w:val="22"/>
          <w:szCs w:val="22"/>
        </w:rPr>
        <w:t>;</w:t>
      </w:r>
    </w:p>
    <w:p w14:paraId="1EAFF48F" w14:textId="77777777" w:rsidR="004B5BEA" w:rsidRPr="00E6195A" w:rsidRDefault="004B5BEA" w:rsidP="004B5BEA">
      <w:pPr>
        <w:pStyle w:val="a7"/>
        <w:spacing w:after="120"/>
        <w:ind w:left="-142"/>
        <w:jc w:val="both"/>
        <w:rPr>
          <w:bCs/>
          <w:sz w:val="22"/>
          <w:szCs w:val="22"/>
        </w:rPr>
      </w:pPr>
    </w:p>
    <w:p w14:paraId="5F45CECA" w14:textId="77777777" w:rsidR="004B5BEA" w:rsidRPr="007542FE" w:rsidRDefault="004B5BEA" w:rsidP="004B5BEA">
      <w:pPr>
        <w:pStyle w:val="a7"/>
        <w:spacing w:after="120"/>
        <w:ind w:left="-142"/>
        <w:jc w:val="both"/>
        <w:rPr>
          <w:bCs/>
          <w:sz w:val="22"/>
          <w:szCs w:val="22"/>
        </w:rPr>
      </w:pPr>
      <w:r>
        <w:rPr>
          <w:bCs/>
          <w:sz w:val="22"/>
          <w:szCs w:val="22"/>
        </w:rPr>
        <w:t xml:space="preserve">Комиссию за подачу формы </w:t>
      </w:r>
      <w:r>
        <w:rPr>
          <w:bCs/>
          <w:sz w:val="22"/>
          <w:szCs w:val="22"/>
          <w:lang w:val="en-US"/>
        </w:rPr>
        <w:t>W</w:t>
      </w:r>
      <w:r w:rsidRPr="007542FE">
        <w:rPr>
          <w:bCs/>
          <w:sz w:val="22"/>
          <w:szCs w:val="22"/>
        </w:rPr>
        <w:t>8-</w:t>
      </w:r>
      <w:r>
        <w:rPr>
          <w:bCs/>
          <w:sz w:val="22"/>
          <w:szCs w:val="22"/>
          <w:lang w:val="en-US"/>
        </w:rPr>
        <w:t>BEN</w:t>
      </w:r>
      <w:r w:rsidRPr="007542FE">
        <w:rPr>
          <w:bCs/>
          <w:sz w:val="22"/>
          <w:szCs w:val="22"/>
        </w:rPr>
        <w:t>;</w:t>
      </w:r>
    </w:p>
    <w:p w14:paraId="141B081B" w14:textId="77777777" w:rsidR="004B5BEA" w:rsidRPr="00307360" w:rsidRDefault="004B5BEA" w:rsidP="004B5BEA">
      <w:pPr>
        <w:pStyle w:val="a7"/>
        <w:spacing w:after="120"/>
        <w:ind w:left="-142"/>
        <w:jc w:val="both"/>
        <w:rPr>
          <w:bCs/>
          <w:sz w:val="22"/>
          <w:szCs w:val="22"/>
        </w:rPr>
      </w:pPr>
    </w:p>
    <w:p w14:paraId="6C12BCC9" w14:textId="77777777" w:rsidR="004B5BEA" w:rsidRPr="00307360" w:rsidRDefault="004B5BEA" w:rsidP="004B5BEA">
      <w:pPr>
        <w:pStyle w:val="a7"/>
        <w:spacing w:after="120"/>
        <w:ind w:left="-142"/>
        <w:jc w:val="both"/>
        <w:rPr>
          <w:bCs/>
          <w:sz w:val="22"/>
          <w:szCs w:val="22"/>
        </w:rPr>
      </w:pPr>
      <w:r w:rsidRPr="00307360">
        <w:rPr>
          <w:bCs/>
          <w:sz w:val="22"/>
          <w:szCs w:val="22"/>
        </w:rPr>
        <w:t>Иные комиссии третьих лиц</w:t>
      </w:r>
      <w:r>
        <w:rPr>
          <w:bCs/>
          <w:sz w:val="22"/>
          <w:szCs w:val="22"/>
        </w:rPr>
        <w:t>, не предусмотренные выше</w:t>
      </w:r>
      <w:r w:rsidRPr="00307360">
        <w:rPr>
          <w:bCs/>
          <w:sz w:val="22"/>
          <w:szCs w:val="22"/>
        </w:rPr>
        <w:t>.</w:t>
      </w:r>
    </w:p>
    <w:p w14:paraId="25E16814" w14:textId="77777777" w:rsidR="004B5BEA" w:rsidRPr="00676455" w:rsidRDefault="004B5BEA" w:rsidP="004B5BEA">
      <w:pPr>
        <w:numPr>
          <w:ilvl w:val="0"/>
          <w:numId w:val="2"/>
        </w:numPr>
        <w:spacing w:after="120"/>
        <w:ind w:left="-142" w:hanging="357"/>
        <w:jc w:val="both"/>
        <w:rPr>
          <w:bCs/>
          <w:sz w:val="22"/>
          <w:szCs w:val="22"/>
        </w:rPr>
      </w:pPr>
      <w:r>
        <w:rPr>
          <w:bCs/>
          <w:sz w:val="22"/>
          <w:szCs w:val="22"/>
        </w:rPr>
        <w:t>В случае если комиссии третьих сторон превысили вышеприведенный тариф, то Компания вправе дополнительно выставить комиссию для оплаты Клиентом.</w:t>
      </w:r>
    </w:p>
    <w:p w14:paraId="536280E2" w14:textId="77777777" w:rsidR="004B5BEA" w:rsidRPr="00307360" w:rsidRDefault="004B5BEA" w:rsidP="004B5BEA">
      <w:pPr>
        <w:numPr>
          <w:ilvl w:val="0"/>
          <w:numId w:val="2"/>
        </w:numPr>
        <w:spacing w:after="120"/>
        <w:ind w:left="-142" w:hanging="357"/>
        <w:jc w:val="both"/>
        <w:rPr>
          <w:bCs/>
          <w:sz w:val="22"/>
          <w:szCs w:val="22"/>
        </w:rPr>
      </w:pPr>
      <w:r w:rsidRPr="00307360">
        <w:rPr>
          <w:bCs/>
          <w:sz w:val="22"/>
          <w:szCs w:val="22"/>
        </w:rPr>
        <w:t xml:space="preserve">Любые пошлины, налоги и сборы на сделки, удерживаемые в соответствии с законодательством страны, на территории которой осуществляются сделки, не являются обязательством Компании и подлежат оплате Клиентом. </w:t>
      </w:r>
    </w:p>
    <w:p w14:paraId="04F75218" w14:textId="77777777" w:rsidR="004B5BEA" w:rsidRPr="00CB2373" w:rsidRDefault="004B5BEA" w:rsidP="004B5BEA">
      <w:pPr>
        <w:numPr>
          <w:ilvl w:val="0"/>
          <w:numId w:val="2"/>
        </w:numPr>
        <w:spacing w:after="120"/>
        <w:ind w:left="-142" w:hanging="357"/>
        <w:jc w:val="both"/>
        <w:rPr>
          <w:bCs/>
          <w:sz w:val="22"/>
          <w:szCs w:val="22"/>
        </w:rPr>
      </w:pPr>
      <w:r w:rsidRPr="00307360">
        <w:rPr>
          <w:bCs/>
          <w:sz w:val="22"/>
          <w:szCs w:val="22"/>
        </w:rPr>
        <w:t xml:space="preserve">Вознаграждение Компании по сделкам </w:t>
      </w:r>
      <w:r w:rsidRPr="00307360">
        <w:rPr>
          <w:sz w:val="22"/>
          <w:szCs w:val="22"/>
        </w:rPr>
        <w:t>рассчитывается от общего объема исполненной части клиентского заказа. Так, если по одному заказу будет заключено две и более сделки, расчет комиссий производится от общей суммы заключенных сделок по этому заказу.</w:t>
      </w:r>
    </w:p>
    <w:p w14:paraId="1F151D17" w14:textId="77777777" w:rsidR="004B5BEA" w:rsidRPr="00307360" w:rsidRDefault="004B5BEA" w:rsidP="004B5BEA">
      <w:pPr>
        <w:numPr>
          <w:ilvl w:val="0"/>
          <w:numId w:val="2"/>
        </w:numPr>
        <w:spacing w:after="120"/>
        <w:ind w:left="-142" w:hanging="357"/>
        <w:jc w:val="both"/>
        <w:rPr>
          <w:bCs/>
          <w:sz w:val="22"/>
          <w:szCs w:val="22"/>
        </w:rPr>
      </w:pPr>
      <w:r>
        <w:rPr>
          <w:sz w:val="22"/>
          <w:szCs w:val="22"/>
        </w:rPr>
        <w:lastRenderedPageBreak/>
        <w:t>Вознаграждение Компании за хранение финансовых инструментов начисляется по официальному курсу Национального Банка Республики Казахстан на дату начисления вознаграждения. По долговым ценным бумагам комиссия начисляется как процент установленный тарифами от номинальной стоимости ценных бумаг,</w:t>
      </w:r>
      <w:r w:rsidRPr="00AC3CC6">
        <w:rPr>
          <w:sz w:val="22"/>
          <w:szCs w:val="22"/>
        </w:rPr>
        <w:t xml:space="preserve"> </w:t>
      </w:r>
      <w:r>
        <w:rPr>
          <w:sz w:val="22"/>
          <w:szCs w:val="22"/>
        </w:rPr>
        <w:t xml:space="preserve">по долевым инструментам по рыночной стоимость, а в случае отсутствия рыночной стоимости применяется номинальная стоимость </w:t>
      </w:r>
    </w:p>
    <w:p w14:paraId="0809C1F1" w14:textId="77777777" w:rsidR="004B5BEA" w:rsidRPr="00307360" w:rsidRDefault="004B5BEA" w:rsidP="004B5BEA">
      <w:pPr>
        <w:numPr>
          <w:ilvl w:val="0"/>
          <w:numId w:val="2"/>
        </w:numPr>
        <w:spacing w:after="120"/>
        <w:ind w:left="-142" w:hanging="357"/>
        <w:jc w:val="both"/>
        <w:rPr>
          <w:bCs/>
          <w:sz w:val="22"/>
          <w:szCs w:val="22"/>
        </w:rPr>
      </w:pPr>
      <w:r w:rsidRPr="00307360">
        <w:rPr>
          <w:bCs/>
          <w:sz w:val="22"/>
          <w:szCs w:val="22"/>
        </w:rPr>
        <w:t>Компания осуществляет списание обязательств Клиента по оплате комиссий со счета Клиента в безакцептном порядке.</w:t>
      </w:r>
    </w:p>
    <w:p w14:paraId="7961F212" w14:textId="77777777" w:rsidR="004B5BEA" w:rsidRPr="00307360" w:rsidRDefault="004B5BEA" w:rsidP="004B5BEA">
      <w:pPr>
        <w:numPr>
          <w:ilvl w:val="0"/>
          <w:numId w:val="2"/>
        </w:numPr>
        <w:spacing w:after="120"/>
        <w:ind w:left="-142" w:hanging="357"/>
        <w:jc w:val="both"/>
        <w:rPr>
          <w:bCs/>
          <w:sz w:val="22"/>
          <w:szCs w:val="22"/>
        </w:rPr>
      </w:pPr>
      <w:r w:rsidRPr="00307360">
        <w:rPr>
          <w:bCs/>
          <w:sz w:val="22"/>
          <w:szCs w:val="22"/>
        </w:rPr>
        <w:t>Компания в одностороннем порядке</w:t>
      </w:r>
      <w:r>
        <w:rPr>
          <w:bCs/>
          <w:sz w:val="22"/>
          <w:szCs w:val="22"/>
        </w:rPr>
        <w:t xml:space="preserve"> вправе</w:t>
      </w:r>
      <w:r w:rsidRPr="00307360">
        <w:rPr>
          <w:bCs/>
          <w:sz w:val="22"/>
          <w:szCs w:val="22"/>
        </w:rPr>
        <w:t xml:space="preserve"> осуществить конвертацию денег из иностранной валюты в национальную валюту в сумме, достаточной для покрытия </w:t>
      </w:r>
      <w:r>
        <w:rPr>
          <w:bCs/>
          <w:sz w:val="22"/>
          <w:szCs w:val="22"/>
        </w:rPr>
        <w:t>обязательств по оплате комиссии Компании</w:t>
      </w:r>
      <w:r w:rsidRPr="00307360">
        <w:rPr>
          <w:bCs/>
          <w:sz w:val="22"/>
          <w:szCs w:val="22"/>
        </w:rPr>
        <w:t>, по курсу обслуживающего банка в день проведения конвертации.</w:t>
      </w:r>
    </w:p>
    <w:p w14:paraId="3D908D3B" w14:textId="77777777" w:rsidR="004B5BEA" w:rsidRDefault="004B5BEA" w:rsidP="004B5BEA">
      <w:pPr>
        <w:tabs>
          <w:tab w:val="num" w:pos="567"/>
        </w:tabs>
        <w:ind w:left="-142"/>
        <w:jc w:val="right"/>
      </w:pPr>
    </w:p>
    <w:p w14:paraId="6D86F177" w14:textId="77777777" w:rsidR="004B5BEA" w:rsidRDefault="004B5BEA" w:rsidP="004B5BEA">
      <w:pPr>
        <w:tabs>
          <w:tab w:val="num" w:pos="567"/>
        </w:tabs>
        <w:ind w:left="-142"/>
        <w:jc w:val="right"/>
      </w:pPr>
    </w:p>
    <w:p w14:paraId="6CEA44AF" w14:textId="77777777" w:rsidR="004B5BEA" w:rsidRDefault="004B5BEA" w:rsidP="004B5BEA">
      <w:pPr>
        <w:tabs>
          <w:tab w:val="num" w:pos="567"/>
        </w:tabs>
        <w:ind w:left="-142"/>
        <w:jc w:val="right"/>
      </w:pPr>
    </w:p>
    <w:p w14:paraId="7259E17C" w14:textId="77777777" w:rsidR="004B5BEA" w:rsidRDefault="004B5BEA" w:rsidP="004B5BEA">
      <w:pPr>
        <w:tabs>
          <w:tab w:val="num" w:pos="567"/>
        </w:tabs>
        <w:ind w:left="-142"/>
        <w:jc w:val="right"/>
      </w:pPr>
    </w:p>
    <w:p w14:paraId="7D2C523F" w14:textId="77777777" w:rsidR="004B5BEA" w:rsidRDefault="004B5BEA" w:rsidP="004B5BEA">
      <w:pPr>
        <w:tabs>
          <w:tab w:val="num" w:pos="567"/>
        </w:tabs>
        <w:ind w:left="-142"/>
        <w:jc w:val="right"/>
      </w:pPr>
    </w:p>
    <w:p w14:paraId="285C3300" w14:textId="77777777" w:rsidR="004B5BEA" w:rsidRDefault="004B5BEA" w:rsidP="004B5BEA">
      <w:pPr>
        <w:tabs>
          <w:tab w:val="num" w:pos="567"/>
        </w:tabs>
        <w:ind w:left="-142"/>
        <w:jc w:val="right"/>
      </w:pPr>
    </w:p>
    <w:p w14:paraId="741D4111" w14:textId="77777777" w:rsidR="004B5BEA" w:rsidRDefault="004B5BEA" w:rsidP="004B5BEA">
      <w:pPr>
        <w:tabs>
          <w:tab w:val="num" w:pos="567"/>
        </w:tabs>
        <w:ind w:left="-142"/>
        <w:jc w:val="right"/>
      </w:pPr>
    </w:p>
    <w:p w14:paraId="2156209D" w14:textId="77777777" w:rsidR="004B5BEA" w:rsidRDefault="004B5BEA" w:rsidP="004B5BEA">
      <w:pPr>
        <w:tabs>
          <w:tab w:val="num" w:pos="567"/>
        </w:tabs>
        <w:ind w:left="-142"/>
        <w:jc w:val="right"/>
      </w:pPr>
    </w:p>
    <w:p w14:paraId="002DEF32" w14:textId="77777777" w:rsidR="004B5BEA" w:rsidRDefault="004B5BEA" w:rsidP="004B5BEA">
      <w:pPr>
        <w:tabs>
          <w:tab w:val="num" w:pos="567"/>
        </w:tabs>
        <w:ind w:left="-142"/>
        <w:jc w:val="right"/>
      </w:pPr>
    </w:p>
    <w:p w14:paraId="7D3E0190" w14:textId="77777777" w:rsidR="004B5BEA" w:rsidRDefault="004B5BEA" w:rsidP="004B5BEA">
      <w:pPr>
        <w:tabs>
          <w:tab w:val="num" w:pos="567"/>
        </w:tabs>
        <w:ind w:left="-142"/>
        <w:jc w:val="right"/>
      </w:pPr>
    </w:p>
    <w:p w14:paraId="4ECEFE8E" w14:textId="77777777" w:rsidR="004B5BEA" w:rsidRDefault="004B5BEA" w:rsidP="004B5BEA">
      <w:pPr>
        <w:tabs>
          <w:tab w:val="num" w:pos="567"/>
        </w:tabs>
        <w:ind w:left="-142"/>
        <w:jc w:val="right"/>
      </w:pPr>
    </w:p>
    <w:p w14:paraId="76085E95" w14:textId="77777777" w:rsidR="004B5BEA" w:rsidRDefault="004B5BEA" w:rsidP="004B5BEA">
      <w:pPr>
        <w:tabs>
          <w:tab w:val="num" w:pos="567"/>
        </w:tabs>
        <w:ind w:left="-142"/>
        <w:jc w:val="right"/>
      </w:pPr>
    </w:p>
    <w:p w14:paraId="3A216188" w14:textId="77777777" w:rsidR="004B5BEA" w:rsidRDefault="004B5BEA" w:rsidP="004B5BEA">
      <w:pPr>
        <w:tabs>
          <w:tab w:val="num" w:pos="567"/>
        </w:tabs>
        <w:ind w:left="-142"/>
        <w:jc w:val="right"/>
      </w:pPr>
    </w:p>
    <w:p w14:paraId="2DA76B5C" w14:textId="77777777" w:rsidR="004B5BEA" w:rsidRDefault="004B5BEA" w:rsidP="004B5BEA">
      <w:pPr>
        <w:tabs>
          <w:tab w:val="num" w:pos="567"/>
        </w:tabs>
        <w:ind w:left="-142"/>
        <w:jc w:val="right"/>
      </w:pPr>
    </w:p>
    <w:p w14:paraId="2848D18E" w14:textId="77777777" w:rsidR="00BF4B3E" w:rsidRPr="00DD14ED" w:rsidRDefault="00FD49C1" w:rsidP="00BF4B3E">
      <w:pPr>
        <w:jc w:val="right"/>
        <w:rPr>
          <w:sz w:val="20"/>
          <w:szCs w:val="20"/>
        </w:rPr>
      </w:pPr>
      <w:r>
        <w:br w:type="column"/>
      </w:r>
      <w:r w:rsidR="00BF4B3E" w:rsidRPr="00DD14ED">
        <w:rPr>
          <w:sz w:val="20"/>
          <w:szCs w:val="20"/>
        </w:rPr>
        <w:lastRenderedPageBreak/>
        <w:t xml:space="preserve">Приложение №4 </w:t>
      </w:r>
    </w:p>
    <w:p w14:paraId="0C9BFC25" w14:textId="77777777" w:rsidR="00BF4B3E" w:rsidRPr="00DD14ED" w:rsidRDefault="00BF4B3E" w:rsidP="00BF4B3E">
      <w:pPr>
        <w:jc w:val="right"/>
        <w:rPr>
          <w:sz w:val="20"/>
          <w:szCs w:val="20"/>
        </w:rPr>
      </w:pPr>
      <w:r w:rsidRPr="00DD14ED">
        <w:rPr>
          <w:sz w:val="20"/>
          <w:szCs w:val="20"/>
        </w:rPr>
        <w:t xml:space="preserve">к протоколу Тарифного комитета </w:t>
      </w:r>
    </w:p>
    <w:p w14:paraId="5724DCD3" w14:textId="77777777" w:rsidR="00BF4B3E" w:rsidRPr="00DD14ED" w:rsidRDefault="00BF4B3E" w:rsidP="00BF4B3E">
      <w:pPr>
        <w:jc w:val="right"/>
        <w:rPr>
          <w:sz w:val="20"/>
          <w:szCs w:val="20"/>
        </w:rPr>
      </w:pPr>
      <w:r w:rsidRPr="00DD14ED">
        <w:rPr>
          <w:sz w:val="20"/>
          <w:szCs w:val="20"/>
        </w:rPr>
        <w:t>АО «</w:t>
      </w:r>
      <w:proofErr w:type="spellStart"/>
      <w:r w:rsidRPr="00DD14ED">
        <w:rPr>
          <w:sz w:val="20"/>
          <w:szCs w:val="20"/>
        </w:rPr>
        <w:t>SkyBridge</w:t>
      </w:r>
      <w:proofErr w:type="spellEnd"/>
      <w:r w:rsidRPr="00DD14ED">
        <w:rPr>
          <w:sz w:val="20"/>
          <w:szCs w:val="20"/>
        </w:rPr>
        <w:t xml:space="preserve"> Invest»</w:t>
      </w:r>
    </w:p>
    <w:p w14:paraId="3C386C22" w14:textId="77777777" w:rsidR="00BF4B3E" w:rsidRPr="00DD14ED" w:rsidRDefault="00BF4B3E" w:rsidP="00BF4B3E">
      <w:pPr>
        <w:jc w:val="right"/>
        <w:rPr>
          <w:sz w:val="20"/>
          <w:szCs w:val="20"/>
        </w:rPr>
      </w:pPr>
      <w:r w:rsidRPr="00DD14ED">
        <w:rPr>
          <w:sz w:val="20"/>
          <w:szCs w:val="20"/>
        </w:rPr>
        <w:t>№ 3 от «15» апреля 2025 г.</w:t>
      </w:r>
    </w:p>
    <w:p w14:paraId="5B993A41" w14:textId="77777777" w:rsidR="00BF4B3E" w:rsidRPr="00490628" w:rsidRDefault="00BF4B3E" w:rsidP="00BF4B3E">
      <w:pPr>
        <w:jc w:val="right"/>
        <w:rPr>
          <w:b/>
          <w:bCs/>
        </w:rPr>
      </w:pPr>
    </w:p>
    <w:p w14:paraId="205CAAA7" w14:textId="77777777" w:rsidR="00BF4B3E" w:rsidRDefault="00BF4B3E" w:rsidP="00BF4B3E">
      <w:pPr>
        <w:jc w:val="center"/>
        <w:rPr>
          <w:rFonts w:eastAsiaTheme="minorEastAsia"/>
          <w:b/>
          <w:bCs/>
          <w:sz w:val="22"/>
          <w:szCs w:val="22"/>
          <w:lang w:val="kk-KZ"/>
        </w:rPr>
      </w:pPr>
      <w:r w:rsidRPr="00490628">
        <w:rPr>
          <w:rFonts w:eastAsiaTheme="minorEastAsia"/>
          <w:b/>
          <w:bCs/>
          <w:sz w:val="22"/>
          <w:szCs w:val="22"/>
          <w:lang w:val="kk-KZ"/>
        </w:rPr>
        <w:t xml:space="preserve">Тарифы АО "SkyBridge Invest" для </w:t>
      </w:r>
      <w:r>
        <w:rPr>
          <w:rFonts w:eastAsiaTheme="minorEastAsia"/>
          <w:b/>
          <w:bCs/>
          <w:sz w:val="22"/>
          <w:szCs w:val="22"/>
          <w:lang w:val="kk-KZ"/>
        </w:rPr>
        <w:t>физических</w:t>
      </w:r>
      <w:r w:rsidRPr="00490628">
        <w:rPr>
          <w:rFonts w:eastAsiaTheme="minorEastAsia"/>
          <w:b/>
          <w:bCs/>
          <w:sz w:val="22"/>
          <w:szCs w:val="22"/>
          <w:lang w:val="kk-KZ"/>
        </w:rPr>
        <w:t xml:space="preserve"> лиц-</w:t>
      </w:r>
      <w:r>
        <w:rPr>
          <w:rFonts w:eastAsiaTheme="minorEastAsia"/>
          <w:b/>
          <w:bCs/>
          <w:sz w:val="22"/>
          <w:szCs w:val="22"/>
          <w:lang w:val="kk-KZ"/>
        </w:rPr>
        <w:t>не</w:t>
      </w:r>
      <w:r w:rsidRPr="00490628">
        <w:rPr>
          <w:rFonts w:eastAsiaTheme="minorEastAsia"/>
          <w:b/>
          <w:bCs/>
          <w:sz w:val="22"/>
          <w:szCs w:val="22"/>
          <w:lang w:val="kk-KZ"/>
        </w:rPr>
        <w:t>резидентов на оказание брокерских услуг и услуг номинального держания</w:t>
      </w:r>
    </w:p>
    <w:p w14:paraId="1E0B96BF" w14:textId="77777777" w:rsidR="00BF4B3E" w:rsidRDefault="00BF4B3E" w:rsidP="00BF4B3E">
      <w:pPr>
        <w:jc w:val="center"/>
        <w:rPr>
          <w:rFonts w:eastAsiaTheme="minorEastAsia"/>
          <w:b/>
          <w:bCs/>
          <w:sz w:val="22"/>
          <w:szCs w:val="22"/>
          <w:lang w:val="kk-KZ"/>
        </w:rPr>
      </w:pPr>
    </w:p>
    <w:tbl>
      <w:tblPr>
        <w:tblW w:w="10169" w:type="dxa"/>
        <w:tblInd w:w="-577" w:type="dxa"/>
        <w:tblLook w:val="04A0" w:firstRow="1" w:lastRow="0" w:firstColumn="1" w:lastColumn="0" w:noHBand="0" w:noVBand="1"/>
      </w:tblPr>
      <w:tblGrid>
        <w:gridCol w:w="4962"/>
        <w:gridCol w:w="5207"/>
      </w:tblGrid>
      <w:tr w:rsidR="00BF4B3E" w:rsidRPr="00FF3231" w14:paraId="06B5C84F" w14:textId="77777777" w:rsidTr="007243F1">
        <w:trPr>
          <w:trHeight w:val="750"/>
          <w:tblHeader/>
        </w:trPr>
        <w:tc>
          <w:tcPr>
            <w:tcW w:w="4962"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DA2DB34" w14:textId="77777777" w:rsidR="00BF4B3E" w:rsidRPr="00FF3231" w:rsidRDefault="00BF4B3E" w:rsidP="007243F1">
            <w:pPr>
              <w:jc w:val="center"/>
              <w:rPr>
                <w:b/>
                <w:sz w:val="20"/>
                <w:szCs w:val="20"/>
              </w:rPr>
            </w:pPr>
            <w:r w:rsidRPr="00FF3231">
              <w:rPr>
                <w:b/>
                <w:sz w:val="20"/>
                <w:szCs w:val="20"/>
              </w:rPr>
              <w:t>Вид операции</w:t>
            </w:r>
          </w:p>
        </w:tc>
        <w:tc>
          <w:tcPr>
            <w:tcW w:w="5207" w:type="dxa"/>
            <w:tcBorders>
              <w:top w:val="single" w:sz="8" w:space="0" w:color="auto"/>
              <w:left w:val="nil"/>
              <w:bottom w:val="single" w:sz="4" w:space="0" w:color="auto"/>
              <w:right w:val="single" w:sz="4" w:space="0" w:color="auto"/>
            </w:tcBorders>
            <w:shd w:val="clear" w:color="000000" w:fill="BFBFBF"/>
            <w:vAlign w:val="center"/>
            <w:hideMark/>
          </w:tcPr>
          <w:p w14:paraId="2BC02E1D" w14:textId="77777777" w:rsidR="00BF4B3E" w:rsidRPr="00FF3231" w:rsidRDefault="00BF4B3E" w:rsidP="007243F1">
            <w:pPr>
              <w:jc w:val="center"/>
              <w:rPr>
                <w:b/>
                <w:bCs/>
                <w:sz w:val="20"/>
                <w:szCs w:val="20"/>
              </w:rPr>
            </w:pPr>
            <w:r w:rsidRPr="00FF3231">
              <w:rPr>
                <w:b/>
                <w:bCs/>
                <w:sz w:val="20"/>
                <w:szCs w:val="20"/>
              </w:rPr>
              <w:t>Тариф для физических лиц – нерезидентов РК</w:t>
            </w:r>
          </w:p>
        </w:tc>
      </w:tr>
      <w:tr w:rsidR="00BF4B3E" w:rsidRPr="00FF3231" w14:paraId="491DD70B" w14:textId="77777777" w:rsidTr="007243F1">
        <w:trPr>
          <w:trHeight w:val="424"/>
        </w:trPr>
        <w:tc>
          <w:tcPr>
            <w:tcW w:w="10169" w:type="dxa"/>
            <w:gridSpan w:val="2"/>
            <w:tcBorders>
              <w:top w:val="single" w:sz="8" w:space="0" w:color="auto"/>
              <w:left w:val="single" w:sz="8" w:space="0" w:color="auto"/>
              <w:bottom w:val="single" w:sz="4" w:space="0" w:color="auto"/>
              <w:right w:val="single" w:sz="4" w:space="0" w:color="auto"/>
            </w:tcBorders>
            <w:shd w:val="clear" w:color="auto" w:fill="0070C0"/>
            <w:vAlign w:val="center"/>
          </w:tcPr>
          <w:p w14:paraId="06D233E7" w14:textId="77777777" w:rsidR="00BF4B3E" w:rsidRPr="00FF3231" w:rsidRDefault="00BF4B3E" w:rsidP="007243F1">
            <w:pPr>
              <w:jc w:val="center"/>
              <w:rPr>
                <w:b/>
                <w:bCs/>
                <w:sz w:val="20"/>
                <w:szCs w:val="20"/>
              </w:rPr>
            </w:pPr>
            <w:r w:rsidRPr="00FF3231">
              <w:rPr>
                <w:b/>
                <w:color w:val="FFFFFF"/>
                <w:sz w:val="20"/>
                <w:szCs w:val="20"/>
              </w:rPr>
              <w:t>Услуги номинального держания</w:t>
            </w:r>
          </w:p>
        </w:tc>
      </w:tr>
      <w:tr w:rsidR="00BF4B3E" w:rsidRPr="00FF3231" w14:paraId="70B2B9EC" w14:textId="77777777" w:rsidTr="007243F1">
        <w:trPr>
          <w:trHeight w:val="510"/>
        </w:trPr>
        <w:tc>
          <w:tcPr>
            <w:tcW w:w="4962" w:type="dxa"/>
            <w:tcBorders>
              <w:top w:val="nil"/>
              <w:left w:val="single" w:sz="8" w:space="0" w:color="auto"/>
              <w:bottom w:val="single" w:sz="4" w:space="0" w:color="auto"/>
              <w:right w:val="single" w:sz="4" w:space="0" w:color="auto"/>
            </w:tcBorders>
            <w:vAlign w:val="center"/>
            <w:hideMark/>
          </w:tcPr>
          <w:p w14:paraId="18CFAEB2" w14:textId="77777777" w:rsidR="00BF4B3E" w:rsidRPr="00FF3231" w:rsidRDefault="00BF4B3E" w:rsidP="007243F1">
            <w:pPr>
              <w:rPr>
                <w:sz w:val="20"/>
                <w:szCs w:val="20"/>
              </w:rPr>
            </w:pPr>
            <w:r w:rsidRPr="00FF3231">
              <w:rPr>
                <w:sz w:val="20"/>
                <w:szCs w:val="20"/>
              </w:rPr>
              <w:t>Открытие /ведение /закрытие лицевого счета</w:t>
            </w:r>
          </w:p>
        </w:tc>
        <w:tc>
          <w:tcPr>
            <w:tcW w:w="5207" w:type="dxa"/>
            <w:tcBorders>
              <w:top w:val="nil"/>
              <w:left w:val="nil"/>
              <w:bottom w:val="single" w:sz="4" w:space="0" w:color="auto"/>
              <w:right w:val="single" w:sz="4" w:space="0" w:color="auto"/>
            </w:tcBorders>
            <w:vAlign w:val="center"/>
            <w:hideMark/>
          </w:tcPr>
          <w:p w14:paraId="726D9324" w14:textId="77777777" w:rsidR="00BF4B3E" w:rsidRPr="00FF3231" w:rsidRDefault="00BF4B3E" w:rsidP="007243F1">
            <w:pPr>
              <w:rPr>
                <w:sz w:val="20"/>
                <w:szCs w:val="20"/>
              </w:rPr>
            </w:pPr>
            <w:r w:rsidRPr="00FF3231">
              <w:rPr>
                <w:sz w:val="20"/>
                <w:szCs w:val="20"/>
              </w:rPr>
              <w:t>Бесплатно</w:t>
            </w:r>
          </w:p>
        </w:tc>
      </w:tr>
      <w:tr w:rsidR="00BF4B3E" w:rsidRPr="00FF3231" w14:paraId="5A346C5E" w14:textId="77777777" w:rsidTr="007243F1">
        <w:trPr>
          <w:trHeight w:val="317"/>
        </w:trPr>
        <w:tc>
          <w:tcPr>
            <w:tcW w:w="4962" w:type="dxa"/>
            <w:tcBorders>
              <w:top w:val="nil"/>
              <w:left w:val="single" w:sz="8" w:space="0" w:color="auto"/>
              <w:bottom w:val="single" w:sz="4" w:space="0" w:color="auto"/>
              <w:right w:val="single" w:sz="4" w:space="0" w:color="auto"/>
            </w:tcBorders>
            <w:vAlign w:val="center"/>
            <w:hideMark/>
          </w:tcPr>
          <w:p w14:paraId="139377AA" w14:textId="77777777" w:rsidR="00BF4B3E" w:rsidRPr="00FF3231" w:rsidRDefault="00BF4B3E" w:rsidP="007243F1">
            <w:pPr>
              <w:rPr>
                <w:sz w:val="20"/>
                <w:szCs w:val="20"/>
              </w:rPr>
            </w:pPr>
            <w:r w:rsidRPr="00FF3231">
              <w:rPr>
                <w:sz w:val="20"/>
                <w:szCs w:val="20"/>
              </w:rPr>
              <w:t xml:space="preserve">Ввод /вывод из номинального держания финансовых инструментов </w:t>
            </w:r>
          </w:p>
        </w:tc>
        <w:tc>
          <w:tcPr>
            <w:tcW w:w="5207" w:type="dxa"/>
            <w:tcBorders>
              <w:top w:val="nil"/>
              <w:left w:val="nil"/>
              <w:bottom w:val="single" w:sz="4" w:space="0" w:color="auto"/>
              <w:right w:val="single" w:sz="4" w:space="0" w:color="auto"/>
            </w:tcBorders>
            <w:vAlign w:val="center"/>
            <w:hideMark/>
          </w:tcPr>
          <w:p w14:paraId="1B628203" w14:textId="77777777" w:rsidR="00BF4B3E" w:rsidRPr="00FF3231" w:rsidRDefault="00BF4B3E" w:rsidP="007243F1">
            <w:pPr>
              <w:numPr>
                <w:ilvl w:val="0"/>
                <w:numId w:val="1"/>
              </w:numPr>
              <w:spacing w:after="120"/>
              <w:ind w:left="227" w:hanging="227"/>
              <w:rPr>
                <w:sz w:val="20"/>
                <w:szCs w:val="20"/>
              </w:rPr>
            </w:pPr>
            <w:r w:rsidRPr="00FF3231">
              <w:rPr>
                <w:sz w:val="20"/>
                <w:szCs w:val="20"/>
              </w:rPr>
              <w:t>Ввод любого вида финансового инструмента – 0,05% от рыночной стоимости* ценных бумаг, не менее 10</w:t>
            </w:r>
            <w:r>
              <w:rPr>
                <w:sz w:val="20"/>
                <w:szCs w:val="20"/>
              </w:rPr>
              <w:t>0</w:t>
            </w:r>
            <w:r w:rsidRPr="00FF3231">
              <w:rPr>
                <w:sz w:val="20"/>
                <w:szCs w:val="20"/>
              </w:rPr>
              <w:t xml:space="preserve"> </w:t>
            </w:r>
            <w:r w:rsidRPr="00FF3231">
              <w:rPr>
                <w:sz w:val="20"/>
                <w:szCs w:val="20"/>
                <w:lang w:val="en-US"/>
              </w:rPr>
              <w:t>USD</w:t>
            </w:r>
            <w:r w:rsidRPr="00FF3231">
              <w:rPr>
                <w:sz w:val="20"/>
                <w:szCs w:val="20"/>
              </w:rPr>
              <w:t xml:space="preserve"> </w:t>
            </w:r>
          </w:p>
          <w:p w14:paraId="2D226AFB" w14:textId="77777777" w:rsidR="00BF4B3E" w:rsidRPr="00FF3231" w:rsidRDefault="00BF4B3E" w:rsidP="007243F1">
            <w:pPr>
              <w:numPr>
                <w:ilvl w:val="0"/>
                <w:numId w:val="1"/>
              </w:numPr>
              <w:spacing w:after="120"/>
              <w:ind w:left="227" w:hanging="227"/>
              <w:rPr>
                <w:sz w:val="20"/>
                <w:szCs w:val="20"/>
              </w:rPr>
            </w:pPr>
            <w:r w:rsidRPr="00FF3231">
              <w:rPr>
                <w:sz w:val="20"/>
                <w:szCs w:val="20"/>
              </w:rPr>
              <w:t xml:space="preserve">Вывод любого вида финансового инструмента – 0,05% от рыночной стоимости* ценных бумаг, </w:t>
            </w:r>
            <w:r w:rsidRPr="00FF3231">
              <w:rPr>
                <w:sz w:val="20"/>
                <w:szCs w:val="20"/>
                <w:lang w:val="kk-KZ"/>
              </w:rPr>
              <w:t>не менее 10</w:t>
            </w:r>
            <w:r>
              <w:rPr>
                <w:sz w:val="20"/>
                <w:szCs w:val="20"/>
                <w:lang w:val="kk-KZ"/>
              </w:rPr>
              <w:t>0</w:t>
            </w:r>
            <w:r w:rsidRPr="00FF3231">
              <w:rPr>
                <w:sz w:val="20"/>
                <w:szCs w:val="20"/>
                <w:lang w:val="kk-KZ"/>
              </w:rPr>
              <w:t xml:space="preserve"> </w:t>
            </w:r>
            <w:r w:rsidRPr="00FF3231">
              <w:rPr>
                <w:sz w:val="20"/>
                <w:szCs w:val="20"/>
                <w:lang w:val="en-US"/>
              </w:rPr>
              <w:t>USD</w:t>
            </w:r>
            <w:r w:rsidRPr="00FF3231">
              <w:rPr>
                <w:sz w:val="20"/>
                <w:szCs w:val="20"/>
              </w:rPr>
              <w:t xml:space="preserve"> </w:t>
            </w:r>
          </w:p>
          <w:p w14:paraId="1C6EFA60" w14:textId="77777777" w:rsidR="00BF4B3E" w:rsidRPr="00FF3231" w:rsidRDefault="00BF4B3E" w:rsidP="007243F1">
            <w:pPr>
              <w:numPr>
                <w:ilvl w:val="0"/>
                <w:numId w:val="1"/>
              </w:numPr>
              <w:ind w:left="227" w:hanging="227"/>
              <w:rPr>
                <w:sz w:val="20"/>
                <w:szCs w:val="20"/>
              </w:rPr>
            </w:pPr>
            <w:r w:rsidRPr="00FF3231">
              <w:rPr>
                <w:sz w:val="20"/>
                <w:szCs w:val="20"/>
              </w:rPr>
              <w:t xml:space="preserve">Вывод денежных средств (за каждую операцию по переводу) – </w:t>
            </w:r>
            <w:r>
              <w:rPr>
                <w:sz w:val="20"/>
                <w:szCs w:val="20"/>
              </w:rPr>
              <w:t xml:space="preserve">0,35%, не менее 50 </w:t>
            </w:r>
            <w:r>
              <w:rPr>
                <w:sz w:val="20"/>
                <w:szCs w:val="20"/>
                <w:lang w:val="en-US"/>
              </w:rPr>
              <w:t>USD</w:t>
            </w:r>
            <w:r>
              <w:rPr>
                <w:sz w:val="20"/>
                <w:szCs w:val="20"/>
                <w:lang w:val="kk-KZ"/>
              </w:rPr>
              <w:t xml:space="preserve">, но не более 500 </w:t>
            </w:r>
            <w:r>
              <w:rPr>
                <w:sz w:val="20"/>
                <w:szCs w:val="20"/>
                <w:lang w:val="en-US"/>
              </w:rPr>
              <w:t>USD</w:t>
            </w:r>
          </w:p>
          <w:p w14:paraId="6887EA86" w14:textId="77777777" w:rsidR="00BF4B3E" w:rsidRPr="00FF3231" w:rsidRDefault="00BF4B3E" w:rsidP="007243F1">
            <w:pPr>
              <w:rPr>
                <w:sz w:val="20"/>
                <w:szCs w:val="20"/>
              </w:rPr>
            </w:pPr>
          </w:p>
          <w:p w14:paraId="413CF29E" w14:textId="77777777" w:rsidR="00BF4B3E" w:rsidRPr="00FF3231" w:rsidRDefault="00BF4B3E" w:rsidP="007243F1">
            <w:pPr>
              <w:ind w:left="6"/>
              <w:rPr>
                <w:sz w:val="20"/>
                <w:szCs w:val="20"/>
              </w:rPr>
            </w:pPr>
            <w:r w:rsidRPr="00FF3231">
              <w:rPr>
                <w:b/>
                <w:bCs/>
                <w:i/>
                <w:iCs/>
              </w:rPr>
              <w:t>*</w:t>
            </w:r>
            <w:r w:rsidRPr="00FF3231">
              <w:rPr>
                <w:i/>
                <w:iCs/>
                <w:sz w:val="20"/>
                <w:szCs w:val="20"/>
              </w:rPr>
              <w:t xml:space="preserve">В случае отсутствия рыночной стоимости применяется фиксированный тариф, определяемый по договоренности сторон </w:t>
            </w:r>
          </w:p>
        </w:tc>
      </w:tr>
      <w:tr w:rsidR="00BF4B3E" w:rsidRPr="00FF3231" w14:paraId="6C91BC9C" w14:textId="77777777" w:rsidTr="007243F1">
        <w:trPr>
          <w:trHeight w:val="1036"/>
        </w:trPr>
        <w:tc>
          <w:tcPr>
            <w:tcW w:w="4962" w:type="dxa"/>
            <w:tcBorders>
              <w:top w:val="nil"/>
              <w:left w:val="single" w:sz="8" w:space="0" w:color="auto"/>
              <w:bottom w:val="single" w:sz="4" w:space="0" w:color="auto"/>
              <w:right w:val="single" w:sz="4" w:space="0" w:color="auto"/>
            </w:tcBorders>
            <w:vAlign w:val="center"/>
          </w:tcPr>
          <w:p w14:paraId="282E2B3D" w14:textId="77777777" w:rsidR="00BF4B3E" w:rsidRPr="00FF3231" w:rsidRDefault="00BF4B3E" w:rsidP="007243F1">
            <w:pPr>
              <w:rPr>
                <w:sz w:val="20"/>
                <w:szCs w:val="20"/>
              </w:rPr>
            </w:pPr>
            <w:r>
              <w:rPr>
                <w:sz w:val="20"/>
                <w:szCs w:val="20"/>
              </w:rPr>
              <w:t>Перевод денежных средств в иностранной валюте внутри своих счетов, открытых в сторонних организациях</w:t>
            </w:r>
          </w:p>
        </w:tc>
        <w:tc>
          <w:tcPr>
            <w:tcW w:w="5207" w:type="dxa"/>
            <w:tcBorders>
              <w:top w:val="nil"/>
              <w:left w:val="nil"/>
              <w:bottom w:val="single" w:sz="4" w:space="0" w:color="auto"/>
              <w:right w:val="single" w:sz="4" w:space="0" w:color="auto"/>
            </w:tcBorders>
            <w:vAlign w:val="center"/>
          </w:tcPr>
          <w:p w14:paraId="0E3D9BE1" w14:textId="77777777" w:rsidR="00BF4B3E" w:rsidRPr="00050045" w:rsidRDefault="00BF4B3E" w:rsidP="007243F1">
            <w:pPr>
              <w:rPr>
                <w:sz w:val="20"/>
                <w:szCs w:val="20"/>
              </w:rPr>
            </w:pPr>
            <w:r>
              <w:rPr>
                <w:sz w:val="20"/>
                <w:szCs w:val="20"/>
              </w:rPr>
              <w:t xml:space="preserve">0,35%, не менее 50 </w:t>
            </w:r>
            <w:r>
              <w:rPr>
                <w:sz w:val="20"/>
                <w:szCs w:val="20"/>
                <w:lang w:val="en-US"/>
              </w:rPr>
              <w:t>USD</w:t>
            </w:r>
            <w:r>
              <w:rPr>
                <w:sz w:val="20"/>
                <w:szCs w:val="20"/>
              </w:rPr>
              <w:t xml:space="preserve">, но не более 500 </w:t>
            </w:r>
            <w:r>
              <w:rPr>
                <w:sz w:val="20"/>
                <w:szCs w:val="20"/>
                <w:lang w:val="en-US"/>
              </w:rPr>
              <w:t>USD</w:t>
            </w:r>
          </w:p>
        </w:tc>
      </w:tr>
      <w:tr w:rsidR="00BF4B3E" w:rsidRPr="00FF3231" w14:paraId="47659CE7" w14:textId="77777777" w:rsidTr="007243F1">
        <w:trPr>
          <w:trHeight w:val="1036"/>
        </w:trPr>
        <w:tc>
          <w:tcPr>
            <w:tcW w:w="4962" w:type="dxa"/>
            <w:tcBorders>
              <w:top w:val="nil"/>
              <w:left w:val="single" w:sz="8" w:space="0" w:color="auto"/>
              <w:bottom w:val="single" w:sz="4" w:space="0" w:color="auto"/>
              <w:right w:val="single" w:sz="4" w:space="0" w:color="auto"/>
            </w:tcBorders>
            <w:vAlign w:val="center"/>
            <w:hideMark/>
          </w:tcPr>
          <w:p w14:paraId="2DFD9D84" w14:textId="77777777" w:rsidR="00BF4B3E" w:rsidRPr="00FF3231" w:rsidRDefault="00BF4B3E" w:rsidP="007243F1">
            <w:pPr>
              <w:rPr>
                <w:sz w:val="20"/>
                <w:szCs w:val="20"/>
              </w:rPr>
            </w:pPr>
            <w:r w:rsidRPr="00FF3231">
              <w:rPr>
                <w:sz w:val="20"/>
                <w:szCs w:val="20"/>
              </w:rPr>
              <w:t>Предоставление регулярных отчетов - 1 раз в месяц (выписка с лицевого счета по состоянию на конец месяца, отчет об истории лицевого счета за отчетный месяц и другие отчеты в соответствии с законодательством РК)</w:t>
            </w:r>
          </w:p>
        </w:tc>
        <w:tc>
          <w:tcPr>
            <w:tcW w:w="5207" w:type="dxa"/>
            <w:tcBorders>
              <w:top w:val="nil"/>
              <w:left w:val="nil"/>
              <w:bottom w:val="single" w:sz="4" w:space="0" w:color="auto"/>
              <w:right w:val="single" w:sz="4" w:space="0" w:color="auto"/>
            </w:tcBorders>
            <w:vAlign w:val="center"/>
            <w:hideMark/>
          </w:tcPr>
          <w:p w14:paraId="759099B5" w14:textId="77777777" w:rsidR="00BF4B3E" w:rsidRPr="00FF3231" w:rsidRDefault="00BF4B3E" w:rsidP="007243F1">
            <w:pPr>
              <w:rPr>
                <w:sz w:val="20"/>
                <w:szCs w:val="20"/>
                <w:lang w:val="en-US"/>
              </w:rPr>
            </w:pPr>
            <w:proofErr w:type="spellStart"/>
            <w:r w:rsidRPr="00FF3231">
              <w:rPr>
                <w:sz w:val="20"/>
                <w:szCs w:val="20"/>
                <w:lang w:val="en-US"/>
              </w:rPr>
              <w:t>Бесплатно</w:t>
            </w:r>
            <w:proofErr w:type="spellEnd"/>
          </w:p>
        </w:tc>
      </w:tr>
      <w:tr w:rsidR="00BF4B3E" w:rsidRPr="00FF3231" w14:paraId="0C546F15" w14:textId="77777777" w:rsidTr="007243F1">
        <w:trPr>
          <w:trHeight w:val="615"/>
        </w:trPr>
        <w:tc>
          <w:tcPr>
            <w:tcW w:w="4962" w:type="dxa"/>
            <w:tcBorders>
              <w:top w:val="nil"/>
              <w:left w:val="single" w:sz="8" w:space="0" w:color="auto"/>
              <w:bottom w:val="single" w:sz="4" w:space="0" w:color="auto"/>
              <w:right w:val="single" w:sz="4" w:space="0" w:color="auto"/>
            </w:tcBorders>
            <w:vAlign w:val="center"/>
            <w:hideMark/>
          </w:tcPr>
          <w:p w14:paraId="20413657" w14:textId="77777777" w:rsidR="00BF4B3E" w:rsidRPr="00FF3231" w:rsidRDefault="00BF4B3E" w:rsidP="007243F1">
            <w:pPr>
              <w:rPr>
                <w:sz w:val="20"/>
                <w:szCs w:val="20"/>
              </w:rPr>
            </w:pPr>
            <w:r w:rsidRPr="00FF3231">
              <w:rPr>
                <w:sz w:val="20"/>
                <w:szCs w:val="20"/>
              </w:rPr>
              <w:t>Предоставление отчетов клиента по запросу - за отчет</w:t>
            </w:r>
          </w:p>
        </w:tc>
        <w:tc>
          <w:tcPr>
            <w:tcW w:w="5207" w:type="dxa"/>
            <w:tcBorders>
              <w:top w:val="nil"/>
              <w:left w:val="nil"/>
              <w:bottom w:val="single" w:sz="4" w:space="0" w:color="auto"/>
              <w:right w:val="single" w:sz="4" w:space="0" w:color="auto"/>
            </w:tcBorders>
            <w:vAlign w:val="center"/>
            <w:hideMark/>
          </w:tcPr>
          <w:p w14:paraId="00CE7B14" w14:textId="77777777" w:rsidR="00BF4B3E" w:rsidRPr="00FF3231" w:rsidRDefault="00BF4B3E" w:rsidP="007243F1">
            <w:pPr>
              <w:rPr>
                <w:sz w:val="20"/>
                <w:szCs w:val="20"/>
                <w:lang w:val="en-US"/>
              </w:rPr>
            </w:pPr>
            <w:r w:rsidRPr="00FF3231">
              <w:rPr>
                <w:sz w:val="20"/>
                <w:szCs w:val="20"/>
                <w:lang w:val="en-US"/>
              </w:rPr>
              <w:t>20 USD</w:t>
            </w:r>
          </w:p>
        </w:tc>
      </w:tr>
      <w:tr w:rsidR="00BF4B3E" w:rsidRPr="00FF3231" w14:paraId="4492948D" w14:textId="77777777" w:rsidTr="007243F1">
        <w:trPr>
          <w:trHeight w:val="793"/>
        </w:trPr>
        <w:tc>
          <w:tcPr>
            <w:tcW w:w="4962" w:type="dxa"/>
            <w:tcBorders>
              <w:top w:val="nil"/>
              <w:left w:val="single" w:sz="8" w:space="0" w:color="auto"/>
              <w:bottom w:val="single" w:sz="4" w:space="0" w:color="auto"/>
              <w:right w:val="single" w:sz="4" w:space="0" w:color="auto"/>
            </w:tcBorders>
            <w:vAlign w:val="center"/>
            <w:hideMark/>
          </w:tcPr>
          <w:p w14:paraId="1E3630AE" w14:textId="77777777" w:rsidR="00BF4B3E" w:rsidRPr="00FF3231" w:rsidRDefault="00BF4B3E" w:rsidP="007243F1">
            <w:pPr>
              <w:rPr>
                <w:sz w:val="20"/>
                <w:szCs w:val="20"/>
              </w:rPr>
            </w:pPr>
            <w:r w:rsidRPr="00FF3231">
              <w:rPr>
                <w:sz w:val="20"/>
                <w:szCs w:val="20"/>
              </w:rPr>
              <w:t>Конвертация финансового инструмента (конвертация из депозитарной расписки в акции, из акций в депозитарные расписки)</w:t>
            </w:r>
          </w:p>
        </w:tc>
        <w:tc>
          <w:tcPr>
            <w:tcW w:w="5207" w:type="dxa"/>
            <w:tcBorders>
              <w:top w:val="nil"/>
              <w:left w:val="nil"/>
              <w:bottom w:val="single" w:sz="4" w:space="0" w:color="auto"/>
              <w:right w:val="single" w:sz="4" w:space="0" w:color="auto"/>
            </w:tcBorders>
            <w:vAlign w:val="center"/>
            <w:hideMark/>
          </w:tcPr>
          <w:p w14:paraId="1FF63D18" w14:textId="77777777" w:rsidR="00BF4B3E" w:rsidRPr="0090774C" w:rsidRDefault="00BF4B3E" w:rsidP="007243F1">
            <w:pPr>
              <w:rPr>
                <w:sz w:val="20"/>
                <w:szCs w:val="20"/>
              </w:rPr>
            </w:pPr>
            <w:r w:rsidRPr="006A72B2">
              <w:rPr>
                <w:sz w:val="20"/>
                <w:szCs w:val="20"/>
              </w:rPr>
              <w:t xml:space="preserve">1,5 </w:t>
            </w:r>
            <w:r>
              <w:rPr>
                <w:sz w:val="20"/>
                <w:szCs w:val="20"/>
              </w:rPr>
              <w:t>цента</w:t>
            </w:r>
            <w:r w:rsidRPr="006A72B2">
              <w:rPr>
                <w:sz w:val="20"/>
                <w:szCs w:val="20"/>
              </w:rPr>
              <w:t xml:space="preserve"> за 1 депозитарную расписку, не </w:t>
            </w:r>
            <w:r w:rsidRPr="00295D5C">
              <w:rPr>
                <w:sz w:val="20"/>
                <w:szCs w:val="20"/>
              </w:rPr>
              <w:t xml:space="preserve">менее 70 </w:t>
            </w:r>
            <w:r w:rsidRPr="00295D5C">
              <w:rPr>
                <w:sz w:val="20"/>
                <w:szCs w:val="20"/>
                <w:lang w:val="en-US"/>
              </w:rPr>
              <w:t>USD</w:t>
            </w:r>
            <w:r w:rsidRPr="00295D5C">
              <w:rPr>
                <w:sz w:val="20"/>
                <w:szCs w:val="20"/>
              </w:rPr>
              <w:t xml:space="preserve"> + комиссия в соответствии с Депозитарным сог</w:t>
            </w:r>
            <w:r>
              <w:rPr>
                <w:sz w:val="20"/>
                <w:szCs w:val="20"/>
              </w:rPr>
              <w:t>лашением эмитента</w:t>
            </w:r>
            <w:r w:rsidRPr="00FF3231" w:rsidDel="0090774C">
              <w:rPr>
                <w:sz w:val="20"/>
                <w:szCs w:val="20"/>
              </w:rPr>
              <w:t xml:space="preserve"> </w:t>
            </w:r>
          </w:p>
        </w:tc>
      </w:tr>
      <w:tr w:rsidR="00BF4B3E" w:rsidRPr="00FF3231" w14:paraId="2D11225F" w14:textId="77777777" w:rsidTr="007243F1">
        <w:trPr>
          <w:trHeight w:val="421"/>
        </w:trPr>
        <w:tc>
          <w:tcPr>
            <w:tcW w:w="4962" w:type="dxa"/>
            <w:tcBorders>
              <w:top w:val="nil"/>
              <w:left w:val="single" w:sz="8" w:space="0" w:color="auto"/>
              <w:bottom w:val="single" w:sz="4" w:space="0" w:color="auto"/>
              <w:right w:val="single" w:sz="4" w:space="0" w:color="auto"/>
            </w:tcBorders>
            <w:vAlign w:val="center"/>
            <w:hideMark/>
          </w:tcPr>
          <w:p w14:paraId="4659CAB7" w14:textId="77777777" w:rsidR="00BF4B3E" w:rsidRPr="00FF3231" w:rsidRDefault="00BF4B3E" w:rsidP="007243F1">
            <w:pPr>
              <w:rPr>
                <w:sz w:val="20"/>
                <w:szCs w:val="20"/>
              </w:rPr>
            </w:pPr>
            <w:r w:rsidRPr="00FF3231">
              <w:rPr>
                <w:sz w:val="20"/>
                <w:szCs w:val="20"/>
              </w:rPr>
              <w:t>Регистрация обременения/залога</w:t>
            </w:r>
          </w:p>
        </w:tc>
        <w:tc>
          <w:tcPr>
            <w:tcW w:w="5207" w:type="dxa"/>
            <w:tcBorders>
              <w:top w:val="nil"/>
              <w:left w:val="nil"/>
              <w:bottom w:val="single" w:sz="4" w:space="0" w:color="auto"/>
              <w:right w:val="single" w:sz="4" w:space="0" w:color="auto"/>
            </w:tcBorders>
            <w:vAlign w:val="center"/>
            <w:hideMark/>
          </w:tcPr>
          <w:p w14:paraId="7DC29668" w14:textId="77777777" w:rsidR="00BF4B3E" w:rsidRPr="00BF554F" w:rsidRDefault="00BF4B3E" w:rsidP="007243F1">
            <w:pPr>
              <w:rPr>
                <w:sz w:val="20"/>
                <w:szCs w:val="20"/>
              </w:rPr>
            </w:pPr>
            <w:r w:rsidRPr="00FF3231">
              <w:rPr>
                <w:sz w:val="20"/>
                <w:szCs w:val="20"/>
              </w:rPr>
              <w:t>0,2% от суммы операции, не менее 20</w:t>
            </w:r>
            <w:r>
              <w:rPr>
                <w:sz w:val="20"/>
                <w:szCs w:val="20"/>
              </w:rPr>
              <w:t>0</w:t>
            </w:r>
            <w:r w:rsidRPr="00FF3231">
              <w:rPr>
                <w:sz w:val="20"/>
                <w:szCs w:val="20"/>
              </w:rPr>
              <w:t xml:space="preserve"> </w:t>
            </w:r>
            <w:r w:rsidRPr="00FF3231">
              <w:rPr>
                <w:sz w:val="20"/>
                <w:szCs w:val="20"/>
                <w:lang w:val="en-US"/>
              </w:rPr>
              <w:t>USD</w:t>
            </w:r>
          </w:p>
        </w:tc>
      </w:tr>
      <w:tr w:rsidR="00BF4B3E" w:rsidRPr="00FF3231" w14:paraId="3F561058" w14:textId="77777777" w:rsidTr="007243F1">
        <w:trPr>
          <w:trHeight w:val="602"/>
        </w:trPr>
        <w:tc>
          <w:tcPr>
            <w:tcW w:w="4962" w:type="dxa"/>
            <w:tcBorders>
              <w:top w:val="nil"/>
              <w:left w:val="single" w:sz="8" w:space="0" w:color="auto"/>
              <w:bottom w:val="single" w:sz="4" w:space="0" w:color="auto"/>
              <w:right w:val="single" w:sz="4" w:space="0" w:color="auto"/>
            </w:tcBorders>
            <w:vAlign w:val="center"/>
            <w:hideMark/>
          </w:tcPr>
          <w:p w14:paraId="05606378" w14:textId="77777777" w:rsidR="00BF4B3E" w:rsidRPr="00FF3231" w:rsidRDefault="00BF4B3E" w:rsidP="007243F1">
            <w:pPr>
              <w:rPr>
                <w:sz w:val="20"/>
                <w:szCs w:val="20"/>
              </w:rPr>
            </w:pPr>
            <w:r w:rsidRPr="00FF3231">
              <w:rPr>
                <w:sz w:val="20"/>
                <w:szCs w:val="20"/>
              </w:rPr>
              <w:t>Дематериализация финансового инструмента</w:t>
            </w:r>
          </w:p>
        </w:tc>
        <w:tc>
          <w:tcPr>
            <w:tcW w:w="5207" w:type="dxa"/>
            <w:tcBorders>
              <w:top w:val="nil"/>
              <w:left w:val="nil"/>
              <w:bottom w:val="single" w:sz="4" w:space="0" w:color="auto"/>
              <w:right w:val="single" w:sz="4" w:space="0" w:color="auto"/>
            </w:tcBorders>
            <w:vAlign w:val="center"/>
            <w:hideMark/>
          </w:tcPr>
          <w:p w14:paraId="5DD4949C" w14:textId="77777777" w:rsidR="00BF4B3E" w:rsidRPr="00FF3231" w:rsidRDefault="00BF4B3E" w:rsidP="007243F1">
            <w:pPr>
              <w:rPr>
                <w:sz w:val="20"/>
                <w:szCs w:val="20"/>
              </w:rPr>
            </w:pPr>
            <w:r w:rsidRPr="00FF3231">
              <w:rPr>
                <w:sz w:val="20"/>
                <w:szCs w:val="20"/>
              </w:rPr>
              <w:t xml:space="preserve">0,02% от рыночной стоимости финансового инструмента, не менее 200 </w:t>
            </w:r>
            <w:r w:rsidRPr="00FF3231">
              <w:rPr>
                <w:sz w:val="20"/>
                <w:szCs w:val="20"/>
                <w:lang w:val="en-US"/>
              </w:rPr>
              <w:t>USD</w:t>
            </w:r>
          </w:p>
        </w:tc>
      </w:tr>
      <w:tr w:rsidR="00BF4B3E" w:rsidRPr="00FF3231" w14:paraId="3C9D1C6B" w14:textId="77777777" w:rsidTr="007243F1">
        <w:trPr>
          <w:trHeight w:val="627"/>
        </w:trPr>
        <w:tc>
          <w:tcPr>
            <w:tcW w:w="4962" w:type="dxa"/>
            <w:tcBorders>
              <w:top w:val="nil"/>
              <w:left w:val="single" w:sz="8" w:space="0" w:color="auto"/>
              <w:bottom w:val="single" w:sz="4" w:space="0" w:color="auto"/>
              <w:right w:val="single" w:sz="4" w:space="0" w:color="auto"/>
            </w:tcBorders>
            <w:vAlign w:val="center"/>
            <w:hideMark/>
          </w:tcPr>
          <w:p w14:paraId="63BDDA7B" w14:textId="77777777" w:rsidR="00BF4B3E" w:rsidRPr="00FF3231" w:rsidRDefault="00BF4B3E" w:rsidP="007243F1">
            <w:pPr>
              <w:rPr>
                <w:sz w:val="20"/>
                <w:szCs w:val="20"/>
              </w:rPr>
            </w:pPr>
            <w:r w:rsidRPr="00FF3231">
              <w:rPr>
                <w:sz w:val="20"/>
                <w:szCs w:val="20"/>
              </w:rPr>
              <w:t>Голосование по корпоративным действиям по доверенности (</w:t>
            </w:r>
            <w:proofErr w:type="spellStart"/>
            <w:r w:rsidRPr="00FF3231">
              <w:rPr>
                <w:sz w:val="20"/>
                <w:szCs w:val="20"/>
              </w:rPr>
              <w:t>proxy</w:t>
            </w:r>
            <w:proofErr w:type="spellEnd"/>
            <w:r w:rsidRPr="00FF3231">
              <w:rPr>
                <w:sz w:val="20"/>
                <w:szCs w:val="20"/>
              </w:rPr>
              <w:t xml:space="preserve"> </w:t>
            </w:r>
            <w:proofErr w:type="spellStart"/>
            <w:r w:rsidRPr="00FF3231">
              <w:rPr>
                <w:sz w:val="20"/>
                <w:szCs w:val="20"/>
              </w:rPr>
              <w:t>voting</w:t>
            </w:r>
            <w:proofErr w:type="spellEnd"/>
            <w:r w:rsidRPr="00FF3231">
              <w:rPr>
                <w:sz w:val="20"/>
                <w:szCs w:val="20"/>
              </w:rPr>
              <w:t>)</w:t>
            </w:r>
          </w:p>
        </w:tc>
        <w:tc>
          <w:tcPr>
            <w:tcW w:w="5207" w:type="dxa"/>
            <w:tcBorders>
              <w:top w:val="nil"/>
              <w:left w:val="nil"/>
              <w:bottom w:val="single" w:sz="4" w:space="0" w:color="auto"/>
              <w:right w:val="single" w:sz="4" w:space="0" w:color="auto"/>
            </w:tcBorders>
            <w:vAlign w:val="center"/>
            <w:hideMark/>
          </w:tcPr>
          <w:p w14:paraId="05738AB6" w14:textId="77777777" w:rsidR="00BF4B3E" w:rsidRPr="00FF3231" w:rsidRDefault="00BF4B3E" w:rsidP="007243F1">
            <w:pPr>
              <w:rPr>
                <w:sz w:val="20"/>
                <w:szCs w:val="20"/>
                <w:lang w:val="en-US"/>
              </w:rPr>
            </w:pPr>
            <w:r w:rsidRPr="00FF3231">
              <w:rPr>
                <w:sz w:val="20"/>
                <w:szCs w:val="20"/>
                <w:lang w:val="en-US"/>
              </w:rPr>
              <w:t>70 USD</w:t>
            </w:r>
          </w:p>
        </w:tc>
      </w:tr>
      <w:tr w:rsidR="00BF4B3E" w:rsidRPr="00FF3231" w14:paraId="455CF7CD" w14:textId="77777777" w:rsidTr="007243F1">
        <w:trPr>
          <w:trHeight w:val="627"/>
        </w:trPr>
        <w:tc>
          <w:tcPr>
            <w:tcW w:w="4962" w:type="dxa"/>
            <w:tcBorders>
              <w:top w:val="nil"/>
              <w:left w:val="single" w:sz="8" w:space="0" w:color="auto"/>
              <w:bottom w:val="single" w:sz="4" w:space="0" w:color="auto"/>
              <w:right w:val="single" w:sz="4" w:space="0" w:color="auto"/>
            </w:tcBorders>
            <w:vAlign w:val="center"/>
          </w:tcPr>
          <w:p w14:paraId="72580677" w14:textId="77777777" w:rsidR="00BF4B3E" w:rsidRPr="00FF3231" w:rsidRDefault="00BF4B3E" w:rsidP="007243F1">
            <w:pPr>
              <w:rPr>
                <w:sz w:val="20"/>
                <w:szCs w:val="20"/>
              </w:rPr>
            </w:pPr>
            <w:r>
              <w:rPr>
                <w:sz w:val="20"/>
                <w:szCs w:val="20"/>
              </w:rPr>
              <w:t xml:space="preserve">Хранение ценных бумаг в АО «Центральный депозитарий ценных бумаг» / </w:t>
            </w:r>
            <w:r>
              <w:rPr>
                <w:sz w:val="20"/>
                <w:szCs w:val="20"/>
                <w:lang w:val="en-US"/>
              </w:rPr>
              <w:t>AIX</w:t>
            </w:r>
            <w:r w:rsidRPr="00E6195A">
              <w:rPr>
                <w:sz w:val="20"/>
                <w:szCs w:val="20"/>
              </w:rPr>
              <w:t xml:space="preserve"> </w:t>
            </w:r>
            <w:r>
              <w:rPr>
                <w:sz w:val="20"/>
                <w:szCs w:val="20"/>
                <w:lang w:val="en-US"/>
              </w:rPr>
              <w:t>CSD</w:t>
            </w:r>
            <w:r w:rsidRPr="00E6195A">
              <w:rPr>
                <w:sz w:val="20"/>
                <w:szCs w:val="20"/>
              </w:rPr>
              <w:t xml:space="preserve"> </w:t>
            </w:r>
            <w:r>
              <w:rPr>
                <w:sz w:val="20"/>
                <w:szCs w:val="20"/>
              </w:rPr>
              <w:t>- от объема активов</w:t>
            </w:r>
          </w:p>
        </w:tc>
        <w:tc>
          <w:tcPr>
            <w:tcW w:w="5207" w:type="dxa"/>
            <w:tcBorders>
              <w:top w:val="nil"/>
              <w:left w:val="nil"/>
              <w:bottom w:val="single" w:sz="4" w:space="0" w:color="auto"/>
              <w:right w:val="single" w:sz="4" w:space="0" w:color="auto"/>
            </w:tcBorders>
            <w:vAlign w:val="center"/>
          </w:tcPr>
          <w:p w14:paraId="35FCFC04" w14:textId="77777777" w:rsidR="00BF4B3E" w:rsidRPr="00FF3231" w:rsidRDefault="00BF4B3E" w:rsidP="007243F1">
            <w:pPr>
              <w:rPr>
                <w:sz w:val="20"/>
                <w:szCs w:val="20"/>
                <w:lang w:val="en-US"/>
              </w:rPr>
            </w:pPr>
            <w:r>
              <w:rPr>
                <w:sz w:val="20"/>
                <w:szCs w:val="20"/>
              </w:rPr>
              <w:t>0,06% годовых</w:t>
            </w:r>
          </w:p>
        </w:tc>
      </w:tr>
      <w:tr w:rsidR="00BF4B3E" w:rsidRPr="00FF3231" w14:paraId="7D727BC9" w14:textId="77777777" w:rsidTr="007243F1">
        <w:trPr>
          <w:trHeight w:val="627"/>
        </w:trPr>
        <w:tc>
          <w:tcPr>
            <w:tcW w:w="4962" w:type="dxa"/>
            <w:tcBorders>
              <w:top w:val="nil"/>
              <w:left w:val="single" w:sz="8" w:space="0" w:color="auto"/>
              <w:bottom w:val="single" w:sz="4" w:space="0" w:color="auto"/>
              <w:right w:val="single" w:sz="4" w:space="0" w:color="auto"/>
            </w:tcBorders>
            <w:vAlign w:val="center"/>
          </w:tcPr>
          <w:p w14:paraId="1A9B3EDA" w14:textId="77777777" w:rsidR="00BF4B3E" w:rsidRPr="00FF3231" w:rsidRDefault="00BF4B3E" w:rsidP="007243F1">
            <w:pPr>
              <w:rPr>
                <w:sz w:val="20"/>
                <w:szCs w:val="20"/>
              </w:rPr>
            </w:pPr>
            <w:r>
              <w:rPr>
                <w:sz w:val="20"/>
                <w:szCs w:val="20"/>
              </w:rPr>
              <w:t xml:space="preserve">Хранение ценных бумаг в локальных банках </w:t>
            </w:r>
            <w:proofErr w:type="spellStart"/>
            <w:r>
              <w:rPr>
                <w:sz w:val="20"/>
                <w:szCs w:val="20"/>
              </w:rPr>
              <w:t>кастодианах</w:t>
            </w:r>
            <w:proofErr w:type="spellEnd"/>
            <w:r>
              <w:rPr>
                <w:sz w:val="20"/>
                <w:szCs w:val="20"/>
              </w:rPr>
              <w:t xml:space="preserve"> - от объема активов</w:t>
            </w:r>
          </w:p>
        </w:tc>
        <w:tc>
          <w:tcPr>
            <w:tcW w:w="5207" w:type="dxa"/>
            <w:tcBorders>
              <w:top w:val="nil"/>
              <w:left w:val="nil"/>
              <w:bottom w:val="single" w:sz="4" w:space="0" w:color="auto"/>
              <w:right w:val="single" w:sz="4" w:space="0" w:color="auto"/>
            </w:tcBorders>
            <w:vAlign w:val="center"/>
          </w:tcPr>
          <w:p w14:paraId="50C700B2" w14:textId="77777777" w:rsidR="00BF4B3E" w:rsidRPr="00FF3231" w:rsidRDefault="00BF4B3E" w:rsidP="007243F1">
            <w:pPr>
              <w:rPr>
                <w:sz w:val="20"/>
                <w:szCs w:val="20"/>
                <w:lang w:val="en-US"/>
              </w:rPr>
            </w:pPr>
            <w:r>
              <w:rPr>
                <w:sz w:val="20"/>
                <w:szCs w:val="20"/>
              </w:rPr>
              <w:t>0,3% годовых</w:t>
            </w:r>
          </w:p>
        </w:tc>
      </w:tr>
      <w:tr w:rsidR="00BF4B3E" w:rsidRPr="00FF3231" w14:paraId="5333B6FE" w14:textId="77777777" w:rsidTr="007243F1">
        <w:trPr>
          <w:trHeight w:val="627"/>
        </w:trPr>
        <w:tc>
          <w:tcPr>
            <w:tcW w:w="4962" w:type="dxa"/>
            <w:tcBorders>
              <w:top w:val="nil"/>
              <w:left w:val="single" w:sz="8" w:space="0" w:color="auto"/>
              <w:bottom w:val="single" w:sz="4" w:space="0" w:color="auto"/>
              <w:right w:val="single" w:sz="4" w:space="0" w:color="auto"/>
            </w:tcBorders>
            <w:vAlign w:val="center"/>
          </w:tcPr>
          <w:p w14:paraId="2C03C708" w14:textId="77777777" w:rsidR="00BF4B3E" w:rsidRDefault="00BF4B3E" w:rsidP="007243F1">
            <w:pPr>
              <w:rPr>
                <w:sz w:val="20"/>
                <w:szCs w:val="20"/>
              </w:rPr>
            </w:pPr>
            <w:r>
              <w:rPr>
                <w:sz w:val="20"/>
                <w:szCs w:val="20"/>
              </w:rPr>
              <w:t xml:space="preserve">Хранение ценных бумаг в зарубежных </w:t>
            </w:r>
            <w:proofErr w:type="spellStart"/>
            <w:r>
              <w:rPr>
                <w:sz w:val="20"/>
                <w:szCs w:val="20"/>
              </w:rPr>
              <w:t>кастодианах</w:t>
            </w:r>
            <w:proofErr w:type="spellEnd"/>
            <w:r>
              <w:rPr>
                <w:sz w:val="20"/>
                <w:szCs w:val="20"/>
              </w:rPr>
              <w:t xml:space="preserve"> – от объёма активов</w:t>
            </w:r>
          </w:p>
        </w:tc>
        <w:tc>
          <w:tcPr>
            <w:tcW w:w="5207" w:type="dxa"/>
            <w:tcBorders>
              <w:top w:val="nil"/>
              <w:left w:val="nil"/>
              <w:bottom w:val="single" w:sz="4" w:space="0" w:color="auto"/>
              <w:right w:val="single" w:sz="4" w:space="0" w:color="auto"/>
            </w:tcBorders>
            <w:vAlign w:val="center"/>
          </w:tcPr>
          <w:p w14:paraId="27F73EDF" w14:textId="77777777" w:rsidR="00BF4B3E" w:rsidRDefault="00BF4B3E" w:rsidP="007243F1">
            <w:pPr>
              <w:rPr>
                <w:sz w:val="20"/>
                <w:szCs w:val="20"/>
              </w:rPr>
            </w:pPr>
            <w:r>
              <w:rPr>
                <w:sz w:val="20"/>
                <w:szCs w:val="20"/>
              </w:rPr>
              <w:t>0,2% годовых</w:t>
            </w:r>
          </w:p>
        </w:tc>
      </w:tr>
      <w:tr w:rsidR="00BF4B3E" w:rsidRPr="00FF3231" w14:paraId="5A042703" w14:textId="77777777" w:rsidTr="007243F1">
        <w:trPr>
          <w:trHeight w:val="423"/>
        </w:trPr>
        <w:tc>
          <w:tcPr>
            <w:tcW w:w="10169" w:type="dxa"/>
            <w:gridSpan w:val="2"/>
            <w:tcBorders>
              <w:top w:val="nil"/>
              <w:left w:val="single" w:sz="8" w:space="0" w:color="auto"/>
              <w:bottom w:val="single" w:sz="4" w:space="0" w:color="auto"/>
              <w:right w:val="single" w:sz="4" w:space="0" w:color="auto"/>
            </w:tcBorders>
            <w:shd w:val="clear" w:color="auto" w:fill="0070C0"/>
            <w:vAlign w:val="center"/>
          </w:tcPr>
          <w:p w14:paraId="02002125" w14:textId="77777777" w:rsidR="00BF4B3E" w:rsidRPr="00FF3231" w:rsidRDefault="00BF4B3E" w:rsidP="007243F1">
            <w:pPr>
              <w:jc w:val="center"/>
              <w:rPr>
                <w:sz w:val="20"/>
                <w:szCs w:val="20"/>
              </w:rPr>
            </w:pPr>
            <w:r w:rsidRPr="00FF3231">
              <w:rPr>
                <w:b/>
                <w:color w:val="FFFFFF"/>
                <w:sz w:val="20"/>
                <w:szCs w:val="20"/>
              </w:rPr>
              <w:lastRenderedPageBreak/>
              <w:t>Брокерские услуги</w:t>
            </w:r>
          </w:p>
        </w:tc>
      </w:tr>
      <w:tr w:rsidR="00BF4B3E" w:rsidRPr="00FF3231" w14:paraId="390A0EFE" w14:textId="77777777" w:rsidTr="007243F1">
        <w:trPr>
          <w:trHeight w:val="862"/>
        </w:trPr>
        <w:tc>
          <w:tcPr>
            <w:tcW w:w="4962" w:type="dxa"/>
            <w:tcBorders>
              <w:top w:val="nil"/>
              <w:left w:val="single" w:sz="8" w:space="0" w:color="auto"/>
              <w:bottom w:val="single" w:sz="4" w:space="0" w:color="auto"/>
              <w:right w:val="single" w:sz="4" w:space="0" w:color="auto"/>
            </w:tcBorders>
            <w:vAlign w:val="center"/>
            <w:hideMark/>
          </w:tcPr>
          <w:p w14:paraId="6C597C20" w14:textId="77777777" w:rsidR="00BF4B3E" w:rsidRPr="00FF3231" w:rsidRDefault="00BF4B3E" w:rsidP="007243F1">
            <w:pPr>
              <w:rPr>
                <w:sz w:val="20"/>
                <w:szCs w:val="20"/>
              </w:rPr>
            </w:pPr>
            <w:r w:rsidRPr="00FF3231">
              <w:rPr>
                <w:sz w:val="20"/>
                <w:szCs w:val="20"/>
              </w:rPr>
              <w:t xml:space="preserve">Покупка/продажа финансовых инструментов на </w:t>
            </w:r>
            <w:r w:rsidRPr="00FF3231">
              <w:rPr>
                <w:sz w:val="20"/>
                <w:szCs w:val="20"/>
              </w:rPr>
              <w:br/>
            </w:r>
            <w:r w:rsidRPr="00FF3231">
              <w:rPr>
                <w:sz w:val="20"/>
                <w:szCs w:val="20"/>
                <w:lang w:val="en-US"/>
              </w:rPr>
              <w:t>KASE</w:t>
            </w:r>
            <w:r>
              <w:rPr>
                <w:sz w:val="20"/>
                <w:szCs w:val="20"/>
              </w:rPr>
              <w:t xml:space="preserve"> и </w:t>
            </w:r>
            <w:r>
              <w:rPr>
                <w:sz w:val="20"/>
                <w:szCs w:val="20"/>
                <w:lang w:val="en-US"/>
              </w:rPr>
              <w:t>AIX</w:t>
            </w:r>
            <w:r w:rsidRPr="00FF3231">
              <w:rPr>
                <w:sz w:val="20"/>
                <w:szCs w:val="20"/>
              </w:rPr>
              <w:t xml:space="preserve"> - от суммы сделки</w:t>
            </w:r>
          </w:p>
        </w:tc>
        <w:tc>
          <w:tcPr>
            <w:tcW w:w="5207" w:type="dxa"/>
            <w:tcBorders>
              <w:top w:val="nil"/>
              <w:left w:val="nil"/>
              <w:bottom w:val="single" w:sz="4" w:space="0" w:color="auto"/>
              <w:right w:val="single" w:sz="4" w:space="0" w:color="auto"/>
            </w:tcBorders>
            <w:vAlign w:val="center"/>
            <w:hideMark/>
          </w:tcPr>
          <w:p w14:paraId="3FFBC6E5" w14:textId="77777777" w:rsidR="00BF4B3E" w:rsidRPr="00FF3231" w:rsidRDefault="00BF4B3E" w:rsidP="007243F1">
            <w:pPr>
              <w:spacing w:before="120"/>
              <w:rPr>
                <w:sz w:val="20"/>
                <w:szCs w:val="20"/>
              </w:rPr>
            </w:pPr>
            <w:r w:rsidRPr="00FF3231">
              <w:rPr>
                <w:sz w:val="20"/>
                <w:szCs w:val="20"/>
              </w:rPr>
              <w:t>0,</w:t>
            </w:r>
            <w:r w:rsidRPr="00FF3231">
              <w:rPr>
                <w:sz w:val="20"/>
                <w:szCs w:val="20"/>
                <w:lang w:val="en-US"/>
              </w:rPr>
              <w:t>3</w:t>
            </w:r>
            <w:r w:rsidRPr="00FF3231">
              <w:rPr>
                <w:sz w:val="20"/>
                <w:szCs w:val="20"/>
              </w:rPr>
              <w:t>%, не менее 10</w:t>
            </w:r>
            <w:r w:rsidRPr="00FF3231">
              <w:rPr>
                <w:sz w:val="20"/>
                <w:szCs w:val="20"/>
                <w:lang w:val="en-US"/>
              </w:rPr>
              <w:t xml:space="preserve"> USD</w:t>
            </w:r>
            <w:r w:rsidRPr="00FF3231">
              <w:rPr>
                <w:sz w:val="20"/>
                <w:szCs w:val="20"/>
              </w:rPr>
              <w:t xml:space="preserve"> </w:t>
            </w:r>
          </w:p>
        </w:tc>
      </w:tr>
      <w:tr w:rsidR="00BF4B3E" w:rsidRPr="00FF3231" w14:paraId="1E93FD97" w14:textId="77777777" w:rsidTr="007243F1">
        <w:trPr>
          <w:trHeight w:val="637"/>
        </w:trPr>
        <w:tc>
          <w:tcPr>
            <w:tcW w:w="4962" w:type="dxa"/>
            <w:tcBorders>
              <w:top w:val="nil"/>
              <w:left w:val="single" w:sz="8" w:space="0" w:color="auto"/>
              <w:bottom w:val="single" w:sz="4" w:space="0" w:color="auto"/>
              <w:right w:val="single" w:sz="4" w:space="0" w:color="auto"/>
            </w:tcBorders>
            <w:vAlign w:val="center"/>
          </w:tcPr>
          <w:p w14:paraId="51EDEAE8" w14:textId="77777777" w:rsidR="00BF4B3E" w:rsidRPr="00FF3231" w:rsidRDefault="00BF4B3E" w:rsidP="007243F1">
            <w:pPr>
              <w:rPr>
                <w:sz w:val="20"/>
                <w:szCs w:val="20"/>
              </w:rPr>
            </w:pPr>
            <w:r>
              <w:rPr>
                <w:sz w:val="20"/>
                <w:szCs w:val="20"/>
              </w:rPr>
              <w:t>Покупка/продажа долевых финансовых инструментов на американском рынке – от суммы сделки</w:t>
            </w:r>
          </w:p>
        </w:tc>
        <w:tc>
          <w:tcPr>
            <w:tcW w:w="5207" w:type="dxa"/>
            <w:tcBorders>
              <w:top w:val="nil"/>
              <w:left w:val="nil"/>
              <w:bottom w:val="single" w:sz="4" w:space="0" w:color="auto"/>
              <w:right w:val="single" w:sz="4" w:space="0" w:color="auto"/>
            </w:tcBorders>
            <w:vAlign w:val="center"/>
          </w:tcPr>
          <w:p w14:paraId="2F59AECF" w14:textId="77777777" w:rsidR="00BF4B3E" w:rsidRPr="00FF3231" w:rsidRDefault="00BF4B3E" w:rsidP="007243F1">
            <w:pPr>
              <w:spacing w:before="120"/>
              <w:rPr>
                <w:sz w:val="20"/>
                <w:szCs w:val="20"/>
              </w:rPr>
            </w:pPr>
            <w:r>
              <w:rPr>
                <w:sz w:val="20"/>
                <w:szCs w:val="20"/>
              </w:rPr>
              <w:t xml:space="preserve">0,5%, не менее 50 </w:t>
            </w:r>
            <w:r>
              <w:rPr>
                <w:sz w:val="20"/>
                <w:szCs w:val="20"/>
                <w:lang w:val="en-US"/>
              </w:rPr>
              <w:t>USD</w:t>
            </w:r>
          </w:p>
        </w:tc>
      </w:tr>
      <w:tr w:rsidR="00BF4B3E" w:rsidRPr="00FF3231" w14:paraId="66716554" w14:textId="77777777" w:rsidTr="007243F1">
        <w:trPr>
          <w:trHeight w:val="637"/>
        </w:trPr>
        <w:tc>
          <w:tcPr>
            <w:tcW w:w="4962" w:type="dxa"/>
            <w:tcBorders>
              <w:top w:val="nil"/>
              <w:left w:val="single" w:sz="8" w:space="0" w:color="auto"/>
              <w:bottom w:val="single" w:sz="4" w:space="0" w:color="auto"/>
              <w:right w:val="single" w:sz="4" w:space="0" w:color="auto"/>
            </w:tcBorders>
            <w:vAlign w:val="center"/>
          </w:tcPr>
          <w:p w14:paraId="2E743AC9" w14:textId="77777777" w:rsidR="00BF4B3E" w:rsidRPr="00FF3231" w:rsidRDefault="00BF4B3E" w:rsidP="007243F1">
            <w:pPr>
              <w:rPr>
                <w:sz w:val="20"/>
                <w:szCs w:val="20"/>
              </w:rPr>
            </w:pPr>
            <w:r>
              <w:rPr>
                <w:sz w:val="20"/>
                <w:szCs w:val="20"/>
              </w:rPr>
              <w:t>Покупка/продажа долговых финансовых инструментов, выпущенных Министерством финансов США – от суммы сделки</w:t>
            </w:r>
          </w:p>
        </w:tc>
        <w:tc>
          <w:tcPr>
            <w:tcW w:w="5207" w:type="dxa"/>
            <w:tcBorders>
              <w:top w:val="nil"/>
              <w:left w:val="nil"/>
              <w:bottom w:val="single" w:sz="4" w:space="0" w:color="auto"/>
              <w:right w:val="single" w:sz="4" w:space="0" w:color="auto"/>
            </w:tcBorders>
            <w:vAlign w:val="center"/>
          </w:tcPr>
          <w:p w14:paraId="3BFFFBF3" w14:textId="77777777" w:rsidR="00BF4B3E" w:rsidRPr="00FF3231" w:rsidRDefault="00BF4B3E" w:rsidP="007243F1">
            <w:pPr>
              <w:spacing w:before="120"/>
              <w:rPr>
                <w:sz w:val="20"/>
                <w:szCs w:val="20"/>
              </w:rPr>
            </w:pPr>
            <w:r>
              <w:rPr>
                <w:sz w:val="20"/>
                <w:szCs w:val="20"/>
              </w:rPr>
              <w:t xml:space="preserve">0,5%, не менее 200 </w:t>
            </w:r>
            <w:r>
              <w:rPr>
                <w:sz w:val="20"/>
                <w:szCs w:val="20"/>
                <w:lang w:val="en-US"/>
              </w:rPr>
              <w:t>USD</w:t>
            </w:r>
          </w:p>
        </w:tc>
      </w:tr>
      <w:tr w:rsidR="00BF4B3E" w:rsidRPr="00FF3231" w14:paraId="2D809704" w14:textId="77777777" w:rsidTr="007243F1">
        <w:trPr>
          <w:trHeight w:val="844"/>
        </w:trPr>
        <w:tc>
          <w:tcPr>
            <w:tcW w:w="4962" w:type="dxa"/>
            <w:tcBorders>
              <w:top w:val="single" w:sz="4" w:space="0" w:color="auto"/>
              <w:left w:val="single" w:sz="4" w:space="0" w:color="auto"/>
              <w:bottom w:val="single" w:sz="4" w:space="0" w:color="auto"/>
              <w:right w:val="single" w:sz="4" w:space="0" w:color="auto"/>
            </w:tcBorders>
            <w:vAlign w:val="center"/>
            <w:hideMark/>
          </w:tcPr>
          <w:p w14:paraId="27492F5E" w14:textId="77777777" w:rsidR="00BF4B3E" w:rsidRPr="00FF3231" w:rsidRDefault="00BF4B3E" w:rsidP="007243F1">
            <w:pPr>
              <w:rPr>
                <w:sz w:val="20"/>
                <w:szCs w:val="20"/>
              </w:rPr>
            </w:pPr>
            <w:r w:rsidRPr="00FF3231">
              <w:rPr>
                <w:sz w:val="20"/>
                <w:szCs w:val="20"/>
              </w:rPr>
              <w:t xml:space="preserve">Покупка/продажа финансовых инструментов </w:t>
            </w:r>
            <w:r>
              <w:rPr>
                <w:sz w:val="20"/>
                <w:szCs w:val="20"/>
              </w:rPr>
              <w:t xml:space="preserve">(долевые и долговые) </w:t>
            </w:r>
            <w:r w:rsidRPr="00FF3231">
              <w:rPr>
                <w:sz w:val="20"/>
                <w:szCs w:val="20"/>
              </w:rPr>
              <w:t xml:space="preserve">на внебиржевом/международном рынке </w:t>
            </w:r>
            <w:r w:rsidRPr="00FF3231">
              <w:rPr>
                <w:sz w:val="20"/>
                <w:szCs w:val="20"/>
                <w:lang w:val="en-US"/>
              </w:rPr>
              <w:t>c</w:t>
            </w:r>
            <w:r w:rsidRPr="00FF3231">
              <w:rPr>
                <w:sz w:val="20"/>
                <w:szCs w:val="20"/>
              </w:rPr>
              <w:t xml:space="preserve"> участием казахстанского </w:t>
            </w:r>
            <w:proofErr w:type="spellStart"/>
            <w:r w:rsidRPr="00FF3231">
              <w:rPr>
                <w:sz w:val="20"/>
                <w:szCs w:val="20"/>
              </w:rPr>
              <w:t>кастодиана</w:t>
            </w:r>
            <w:proofErr w:type="spellEnd"/>
            <w:r w:rsidRPr="00FF3231">
              <w:rPr>
                <w:sz w:val="20"/>
                <w:szCs w:val="20"/>
              </w:rPr>
              <w:t xml:space="preserve"> – от суммы сделки</w:t>
            </w:r>
          </w:p>
          <w:p w14:paraId="3DAAF98C" w14:textId="77777777" w:rsidR="00BF4B3E" w:rsidRPr="00FF3231" w:rsidRDefault="00BF4B3E" w:rsidP="007243F1">
            <w:pPr>
              <w:rPr>
                <w:sz w:val="20"/>
                <w:szCs w:val="20"/>
              </w:rPr>
            </w:pPr>
          </w:p>
        </w:tc>
        <w:tc>
          <w:tcPr>
            <w:tcW w:w="5207" w:type="dxa"/>
            <w:tcBorders>
              <w:top w:val="single" w:sz="4" w:space="0" w:color="auto"/>
              <w:left w:val="nil"/>
              <w:bottom w:val="single" w:sz="4" w:space="0" w:color="auto"/>
              <w:right w:val="single" w:sz="4" w:space="0" w:color="auto"/>
            </w:tcBorders>
            <w:vAlign w:val="center"/>
            <w:hideMark/>
          </w:tcPr>
          <w:p w14:paraId="633445E0" w14:textId="77777777" w:rsidR="00BF4B3E" w:rsidRPr="003D67EC" w:rsidRDefault="00BF4B3E" w:rsidP="007243F1">
            <w:pPr>
              <w:rPr>
                <w:sz w:val="20"/>
                <w:szCs w:val="20"/>
              </w:rPr>
            </w:pPr>
            <w:r w:rsidRPr="00FF3231">
              <w:rPr>
                <w:sz w:val="20"/>
                <w:szCs w:val="20"/>
              </w:rPr>
              <w:t xml:space="preserve">0,5%, не менее </w:t>
            </w:r>
            <w:r>
              <w:rPr>
                <w:sz w:val="20"/>
                <w:szCs w:val="20"/>
              </w:rPr>
              <w:t>100</w:t>
            </w:r>
            <w:r w:rsidRPr="00FF3231">
              <w:rPr>
                <w:sz w:val="20"/>
                <w:szCs w:val="20"/>
              </w:rPr>
              <w:t xml:space="preserve"> </w:t>
            </w:r>
            <w:r w:rsidRPr="00FF3231">
              <w:rPr>
                <w:sz w:val="20"/>
                <w:szCs w:val="20"/>
                <w:lang w:val="en-US"/>
              </w:rPr>
              <w:t>USD</w:t>
            </w:r>
          </w:p>
          <w:p w14:paraId="6769904B" w14:textId="77777777" w:rsidR="00BF4B3E" w:rsidRPr="00FF3231" w:rsidRDefault="00BF4B3E" w:rsidP="007243F1">
            <w:pPr>
              <w:rPr>
                <w:sz w:val="20"/>
                <w:szCs w:val="20"/>
              </w:rPr>
            </w:pPr>
          </w:p>
          <w:p w14:paraId="57D178FE" w14:textId="77777777" w:rsidR="00BF4B3E" w:rsidRPr="00FF3231" w:rsidRDefault="00BF4B3E" w:rsidP="007243F1">
            <w:pPr>
              <w:rPr>
                <w:sz w:val="20"/>
                <w:szCs w:val="20"/>
              </w:rPr>
            </w:pPr>
          </w:p>
          <w:p w14:paraId="1A1B89C2" w14:textId="77777777" w:rsidR="00BF4B3E" w:rsidRPr="00FF3231" w:rsidRDefault="00BF4B3E" w:rsidP="007243F1">
            <w:pPr>
              <w:rPr>
                <w:sz w:val="20"/>
                <w:szCs w:val="20"/>
              </w:rPr>
            </w:pPr>
          </w:p>
        </w:tc>
      </w:tr>
      <w:tr w:rsidR="00BF4B3E" w:rsidRPr="00FF3231" w14:paraId="491AA65C" w14:textId="77777777" w:rsidTr="007243F1">
        <w:trPr>
          <w:trHeight w:val="1829"/>
        </w:trPr>
        <w:tc>
          <w:tcPr>
            <w:tcW w:w="4962" w:type="dxa"/>
            <w:tcBorders>
              <w:top w:val="single" w:sz="4" w:space="0" w:color="auto"/>
              <w:left w:val="single" w:sz="4" w:space="0" w:color="auto"/>
              <w:bottom w:val="single" w:sz="4" w:space="0" w:color="auto"/>
              <w:right w:val="single" w:sz="4" w:space="0" w:color="auto"/>
            </w:tcBorders>
            <w:vAlign w:val="center"/>
          </w:tcPr>
          <w:p w14:paraId="392E4F7E" w14:textId="77777777" w:rsidR="00BF4B3E" w:rsidRPr="00FF3231" w:rsidRDefault="00BF4B3E" w:rsidP="007243F1">
            <w:pPr>
              <w:spacing w:before="120" w:after="120"/>
              <w:rPr>
                <w:sz w:val="20"/>
                <w:szCs w:val="20"/>
              </w:rPr>
            </w:pPr>
            <w:r w:rsidRPr="00FF3231">
              <w:rPr>
                <w:sz w:val="20"/>
                <w:szCs w:val="20"/>
              </w:rPr>
              <w:t>Сделки РЕПО</w:t>
            </w:r>
          </w:p>
          <w:p w14:paraId="40AC62D9" w14:textId="77777777" w:rsidR="00BF4B3E" w:rsidRPr="00FF3231" w:rsidRDefault="00BF4B3E" w:rsidP="00BF4B3E">
            <w:pPr>
              <w:numPr>
                <w:ilvl w:val="0"/>
                <w:numId w:val="6"/>
              </w:numPr>
              <w:spacing w:after="160"/>
              <w:ind w:left="227" w:hanging="227"/>
              <w:rPr>
                <w:sz w:val="20"/>
                <w:szCs w:val="20"/>
              </w:rPr>
            </w:pPr>
            <w:r w:rsidRPr="00FF3231">
              <w:rPr>
                <w:sz w:val="20"/>
                <w:szCs w:val="20"/>
              </w:rPr>
              <w:t>при операции обратного РЕПО (размещение денежных средств) – в процентах от дохода клиента;</w:t>
            </w:r>
          </w:p>
          <w:p w14:paraId="30590303" w14:textId="77777777" w:rsidR="00BF4B3E" w:rsidRPr="00FF3231" w:rsidRDefault="00BF4B3E" w:rsidP="007243F1">
            <w:pPr>
              <w:ind w:left="195" w:hanging="195"/>
              <w:rPr>
                <w:sz w:val="20"/>
                <w:szCs w:val="20"/>
              </w:rPr>
            </w:pPr>
            <w:r w:rsidRPr="00FF3231">
              <w:rPr>
                <w:rFonts w:ascii="Segoe UI Symbol" w:hAnsi="Segoe UI Symbol"/>
                <w:sz w:val="20"/>
                <w:szCs w:val="20"/>
              </w:rPr>
              <w:t>◾</w:t>
            </w:r>
            <w:r w:rsidRPr="00D700D9">
              <w:rPr>
                <w:rFonts w:ascii="Segoe UI Symbol" w:hAnsi="Segoe UI Symbol"/>
                <w:sz w:val="20"/>
                <w:szCs w:val="20"/>
              </w:rPr>
              <w:t xml:space="preserve"> </w:t>
            </w:r>
            <w:r w:rsidRPr="00FF3231">
              <w:rPr>
                <w:sz w:val="20"/>
                <w:szCs w:val="20"/>
              </w:rPr>
              <w:t xml:space="preserve">при операции РЕПО (привлечение денежных </w:t>
            </w:r>
            <w:r w:rsidRPr="00D700D9">
              <w:rPr>
                <w:sz w:val="20"/>
                <w:szCs w:val="20"/>
              </w:rPr>
              <w:t xml:space="preserve">   </w:t>
            </w:r>
            <w:r w:rsidRPr="00FF3231">
              <w:rPr>
                <w:sz w:val="20"/>
                <w:szCs w:val="20"/>
              </w:rPr>
              <w:t>средств) – в процентах от разницы между объемом закрытия и открытия</w:t>
            </w:r>
          </w:p>
        </w:tc>
        <w:tc>
          <w:tcPr>
            <w:tcW w:w="5207" w:type="dxa"/>
            <w:tcBorders>
              <w:top w:val="single" w:sz="4" w:space="0" w:color="auto"/>
              <w:left w:val="nil"/>
              <w:bottom w:val="single" w:sz="4" w:space="0" w:color="auto"/>
              <w:right w:val="single" w:sz="4" w:space="0" w:color="auto"/>
            </w:tcBorders>
            <w:vAlign w:val="center"/>
          </w:tcPr>
          <w:p w14:paraId="61D55E4F" w14:textId="77777777" w:rsidR="00BF4B3E" w:rsidRPr="00FF3231" w:rsidRDefault="00BF4B3E" w:rsidP="007243F1">
            <w:pPr>
              <w:rPr>
                <w:sz w:val="20"/>
                <w:szCs w:val="20"/>
              </w:rPr>
            </w:pPr>
            <w:r w:rsidRPr="00FF3231">
              <w:rPr>
                <w:rFonts w:ascii="Segoe UI Symbol" w:hAnsi="Segoe UI Symbol"/>
                <w:sz w:val="20"/>
                <w:szCs w:val="20"/>
              </w:rPr>
              <w:t>◾</w:t>
            </w:r>
            <w:r w:rsidRPr="00FF3231">
              <w:rPr>
                <w:sz w:val="20"/>
                <w:szCs w:val="20"/>
              </w:rPr>
              <w:t xml:space="preserve"> 1% от суммы </w:t>
            </w:r>
            <w:r>
              <w:rPr>
                <w:sz w:val="20"/>
                <w:szCs w:val="20"/>
              </w:rPr>
              <w:t>дохода в рамках одного клиентского</w:t>
            </w:r>
            <w:r w:rsidRPr="00FF3231">
              <w:rPr>
                <w:sz w:val="20"/>
                <w:szCs w:val="20"/>
              </w:rPr>
              <w:t xml:space="preserve"> </w:t>
            </w:r>
            <w:r>
              <w:rPr>
                <w:sz w:val="20"/>
                <w:szCs w:val="20"/>
              </w:rPr>
              <w:t>заказа</w:t>
            </w:r>
            <w:r w:rsidRPr="00FF3231">
              <w:rPr>
                <w:sz w:val="20"/>
                <w:szCs w:val="20"/>
              </w:rPr>
              <w:t xml:space="preserve">, не менее 10 </w:t>
            </w:r>
            <w:r w:rsidRPr="00FF3231">
              <w:rPr>
                <w:sz w:val="20"/>
                <w:szCs w:val="20"/>
                <w:lang w:val="en-US"/>
              </w:rPr>
              <w:t>USD</w:t>
            </w:r>
          </w:p>
          <w:p w14:paraId="518FDCD5" w14:textId="77777777" w:rsidR="00BF4B3E" w:rsidRPr="00FF3231" w:rsidRDefault="00BF4B3E" w:rsidP="007243F1">
            <w:pPr>
              <w:rPr>
                <w:sz w:val="20"/>
                <w:szCs w:val="20"/>
              </w:rPr>
            </w:pPr>
          </w:p>
          <w:p w14:paraId="1717B2F2" w14:textId="77777777" w:rsidR="00BF4B3E" w:rsidRDefault="00BF4B3E" w:rsidP="007243F1">
            <w:pPr>
              <w:rPr>
                <w:sz w:val="20"/>
                <w:szCs w:val="20"/>
              </w:rPr>
            </w:pPr>
          </w:p>
          <w:p w14:paraId="0338A00C" w14:textId="77777777" w:rsidR="00BF4B3E" w:rsidRPr="00FF3231" w:rsidRDefault="00BF4B3E" w:rsidP="007243F1">
            <w:pPr>
              <w:rPr>
                <w:sz w:val="20"/>
                <w:szCs w:val="20"/>
              </w:rPr>
            </w:pPr>
          </w:p>
          <w:p w14:paraId="2E608D54" w14:textId="77777777" w:rsidR="00BF4B3E" w:rsidRPr="00D700D9" w:rsidRDefault="00BF4B3E" w:rsidP="007243F1">
            <w:pPr>
              <w:rPr>
                <w:sz w:val="20"/>
                <w:szCs w:val="20"/>
              </w:rPr>
            </w:pPr>
            <w:r w:rsidRPr="00D700D9">
              <w:rPr>
                <w:rFonts w:ascii="Segoe UI Symbol" w:hAnsi="Segoe UI Symbol"/>
                <w:sz w:val="20"/>
                <w:szCs w:val="20"/>
              </w:rPr>
              <w:t>◾</w:t>
            </w:r>
            <w:r w:rsidRPr="00D700D9">
              <w:rPr>
                <w:sz w:val="20"/>
                <w:szCs w:val="20"/>
              </w:rPr>
              <w:t xml:space="preserve"> 2% от суммы </w:t>
            </w:r>
            <w:r>
              <w:rPr>
                <w:sz w:val="20"/>
                <w:szCs w:val="20"/>
              </w:rPr>
              <w:t>дохода в рамках одного клиентского</w:t>
            </w:r>
            <w:r w:rsidRPr="00FF3231">
              <w:rPr>
                <w:sz w:val="20"/>
                <w:szCs w:val="20"/>
              </w:rPr>
              <w:t xml:space="preserve"> </w:t>
            </w:r>
            <w:r>
              <w:rPr>
                <w:sz w:val="20"/>
                <w:szCs w:val="20"/>
              </w:rPr>
              <w:t>заказа</w:t>
            </w:r>
            <w:r w:rsidRPr="00D700D9">
              <w:rPr>
                <w:sz w:val="20"/>
                <w:szCs w:val="20"/>
              </w:rPr>
              <w:t xml:space="preserve">, не менее 20 USD </w:t>
            </w:r>
          </w:p>
        </w:tc>
      </w:tr>
      <w:tr w:rsidR="00BF4B3E" w:rsidRPr="00FF3231" w14:paraId="2C8716B4" w14:textId="77777777" w:rsidTr="007243F1">
        <w:trPr>
          <w:trHeight w:val="488"/>
        </w:trPr>
        <w:tc>
          <w:tcPr>
            <w:tcW w:w="4962" w:type="dxa"/>
            <w:tcBorders>
              <w:top w:val="single" w:sz="4" w:space="0" w:color="auto"/>
              <w:left w:val="single" w:sz="4" w:space="0" w:color="auto"/>
              <w:bottom w:val="single" w:sz="4" w:space="0" w:color="auto"/>
              <w:right w:val="single" w:sz="4" w:space="0" w:color="auto"/>
            </w:tcBorders>
          </w:tcPr>
          <w:p w14:paraId="1E6CF5E9" w14:textId="77777777" w:rsidR="00BF4B3E" w:rsidRPr="00FF3231" w:rsidRDefault="00BF4B3E" w:rsidP="007243F1">
            <w:pPr>
              <w:spacing w:before="120" w:after="120"/>
              <w:rPr>
                <w:sz w:val="20"/>
                <w:szCs w:val="20"/>
              </w:rPr>
            </w:pPr>
            <w:r>
              <w:rPr>
                <w:sz w:val="20"/>
                <w:szCs w:val="20"/>
              </w:rPr>
              <w:t>Конвертация денежных средств на бирже – от объёма конвертации</w:t>
            </w:r>
          </w:p>
        </w:tc>
        <w:tc>
          <w:tcPr>
            <w:tcW w:w="5207" w:type="dxa"/>
            <w:tcBorders>
              <w:top w:val="single" w:sz="4" w:space="0" w:color="auto"/>
              <w:left w:val="nil"/>
              <w:bottom w:val="single" w:sz="4" w:space="0" w:color="auto"/>
              <w:right w:val="single" w:sz="4" w:space="0" w:color="auto"/>
            </w:tcBorders>
          </w:tcPr>
          <w:p w14:paraId="5522A0FE" w14:textId="77777777" w:rsidR="00BF4B3E" w:rsidRPr="00CA38D9" w:rsidRDefault="00BF4B3E" w:rsidP="007243F1">
            <w:pPr>
              <w:rPr>
                <w:sz w:val="20"/>
                <w:szCs w:val="20"/>
              </w:rPr>
            </w:pPr>
            <w:r>
              <w:rPr>
                <w:sz w:val="20"/>
                <w:szCs w:val="20"/>
              </w:rPr>
              <w:t>0,05%,</w:t>
            </w:r>
            <w:r w:rsidRPr="00D700D9">
              <w:rPr>
                <w:sz w:val="20"/>
                <w:szCs w:val="20"/>
              </w:rPr>
              <w:t xml:space="preserve"> </w:t>
            </w:r>
            <w:r>
              <w:rPr>
                <w:sz w:val="20"/>
                <w:szCs w:val="20"/>
              </w:rPr>
              <w:t xml:space="preserve">не менее 10 </w:t>
            </w:r>
            <w:r>
              <w:rPr>
                <w:sz w:val="20"/>
                <w:szCs w:val="20"/>
                <w:lang w:val="en-US"/>
              </w:rPr>
              <w:t>USD</w:t>
            </w:r>
          </w:p>
        </w:tc>
      </w:tr>
      <w:tr w:rsidR="00BF4B3E" w:rsidRPr="00FF3231" w14:paraId="10B2B83C" w14:textId="77777777" w:rsidTr="007243F1">
        <w:trPr>
          <w:trHeight w:val="488"/>
        </w:trPr>
        <w:tc>
          <w:tcPr>
            <w:tcW w:w="4962" w:type="dxa"/>
            <w:tcBorders>
              <w:top w:val="single" w:sz="4" w:space="0" w:color="auto"/>
              <w:left w:val="single" w:sz="4" w:space="0" w:color="auto"/>
              <w:bottom w:val="single" w:sz="4" w:space="0" w:color="auto"/>
              <w:right w:val="single" w:sz="4" w:space="0" w:color="auto"/>
            </w:tcBorders>
            <w:vAlign w:val="center"/>
          </w:tcPr>
          <w:p w14:paraId="557EB67B" w14:textId="77777777" w:rsidR="00BF4B3E" w:rsidRPr="00656D9A" w:rsidRDefault="00BF4B3E" w:rsidP="007243F1">
            <w:pPr>
              <w:spacing w:before="120" w:after="120"/>
              <w:rPr>
                <w:sz w:val="20"/>
                <w:szCs w:val="20"/>
              </w:rPr>
            </w:pPr>
            <w:r>
              <w:rPr>
                <w:sz w:val="20"/>
                <w:szCs w:val="20"/>
              </w:rPr>
              <w:t>Операции валютного свопа – от объёма операции</w:t>
            </w:r>
          </w:p>
        </w:tc>
        <w:tc>
          <w:tcPr>
            <w:tcW w:w="5207" w:type="dxa"/>
            <w:tcBorders>
              <w:top w:val="single" w:sz="4" w:space="0" w:color="auto"/>
              <w:left w:val="nil"/>
              <w:bottom w:val="single" w:sz="4" w:space="0" w:color="auto"/>
              <w:right w:val="single" w:sz="4" w:space="0" w:color="auto"/>
            </w:tcBorders>
          </w:tcPr>
          <w:p w14:paraId="792B6446" w14:textId="77777777" w:rsidR="00BF4B3E" w:rsidRDefault="00BF4B3E" w:rsidP="007243F1">
            <w:pPr>
              <w:rPr>
                <w:sz w:val="20"/>
                <w:szCs w:val="20"/>
              </w:rPr>
            </w:pPr>
            <w:r>
              <w:rPr>
                <w:sz w:val="20"/>
                <w:szCs w:val="20"/>
              </w:rPr>
              <w:t>0,05%,</w:t>
            </w:r>
            <w:r w:rsidRPr="00D700D9">
              <w:rPr>
                <w:sz w:val="20"/>
                <w:szCs w:val="20"/>
              </w:rPr>
              <w:t xml:space="preserve"> </w:t>
            </w:r>
            <w:r>
              <w:rPr>
                <w:sz w:val="20"/>
                <w:szCs w:val="20"/>
              </w:rPr>
              <w:t xml:space="preserve">не менее 10 </w:t>
            </w:r>
            <w:r>
              <w:rPr>
                <w:sz w:val="20"/>
                <w:szCs w:val="20"/>
                <w:lang w:val="en-US"/>
              </w:rPr>
              <w:t>USD</w:t>
            </w:r>
          </w:p>
        </w:tc>
      </w:tr>
      <w:tr w:rsidR="00BF4B3E" w:rsidRPr="00FF3231" w14:paraId="5FE9AF06" w14:textId="77777777" w:rsidTr="007243F1">
        <w:trPr>
          <w:trHeight w:val="488"/>
        </w:trPr>
        <w:tc>
          <w:tcPr>
            <w:tcW w:w="4962" w:type="dxa"/>
            <w:tcBorders>
              <w:top w:val="single" w:sz="4" w:space="0" w:color="auto"/>
              <w:left w:val="single" w:sz="4" w:space="0" w:color="auto"/>
              <w:bottom w:val="single" w:sz="4" w:space="0" w:color="auto"/>
              <w:right w:val="single" w:sz="4" w:space="0" w:color="auto"/>
            </w:tcBorders>
            <w:vAlign w:val="center"/>
          </w:tcPr>
          <w:p w14:paraId="3352915E" w14:textId="77777777" w:rsidR="00BF4B3E" w:rsidRPr="00295D5C" w:rsidRDefault="00BF4B3E" w:rsidP="007243F1">
            <w:pPr>
              <w:spacing w:before="120" w:after="120"/>
              <w:rPr>
                <w:sz w:val="20"/>
                <w:szCs w:val="20"/>
              </w:rPr>
            </w:pPr>
            <w:r>
              <w:rPr>
                <w:sz w:val="20"/>
                <w:szCs w:val="20"/>
              </w:rPr>
              <w:t>Конвертация денежных средств на внебиржевом рынке</w:t>
            </w:r>
            <w:r w:rsidRPr="00295D5C">
              <w:rPr>
                <w:sz w:val="20"/>
                <w:szCs w:val="20"/>
              </w:rPr>
              <w:t xml:space="preserve"> - </w:t>
            </w:r>
            <w:r>
              <w:rPr>
                <w:sz w:val="20"/>
                <w:szCs w:val="20"/>
              </w:rPr>
              <w:t>от объёма операции</w:t>
            </w:r>
          </w:p>
        </w:tc>
        <w:tc>
          <w:tcPr>
            <w:tcW w:w="5207" w:type="dxa"/>
            <w:tcBorders>
              <w:top w:val="single" w:sz="4" w:space="0" w:color="auto"/>
              <w:left w:val="nil"/>
              <w:bottom w:val="single" w:sz="4" w:space="0" w:color="auto"/>
              <w:right w:val="single" w:sz="4" w:space="0" w:color="auto"/>
            </w:tcBorders>
            <w:vAlign w:val="center"/>
          </w:tcPr>
          <w:p w14:paraId="019F8623" w14:textId="77777777" w:rsidR="00BF4B3E" w:rsidRDefault="00BF4B3E" w:rsidP="007243F1">
            <w:pPr>
              <w:rPr>
                <w:sz w:val="20"/>
                <w:szCs w:val="20"/>
              </w:rPr>
            </w:pPr>
            <w:r>
              <w:rPr>
                <w:sz w:val="20"/>
                <w:szCs w:val="20"/>
              </w:rPr>
              <w:t xml:space="preserve">0,1%, не менее 100 </w:t>
            </w:r>
            <w:r>
              <w:rPr>
                <w:sz w:val="20"/>
                <w:szCs w:val="20"/>
                <w:lang w:val="en-US"/>
              </w:rPr>
              <w:t>USD</w:t>
            </w:r>
          </w:p>
        </w:tc>
      </w:tr>
    </w:tbl>
    <w:p w14:paraId="22EC6FDF" w14:textId="77777777" w:rsidR="00BF4B3E" w:rsidRDefault="00BF4B3E" w:rsidP="00BF4B3E">
      <w:pPr>
        <w:spacing w:after="120"/>
        <w:rPr>
          <w:b/>
          <w:bCs/>
          <w:i/>
          <w:iCs/>
          <w:sz w:val="22"/>
          <w:szCs w:val="22"/>
          <w:u w:val="single"/>
        </w:rPr>
      </w:pPr>
    </w:p>
    <w:p w14:paraId="638C7229" w14:textId="77777777" w:rsidR="00BF4B3E" w:rsidRPr="00307360" w:rsidRDefault="00BF4B3E" w:rsidP="00BF4B3E">
      <w:pPr>
        <w:spacing w:after="120"/>
        <w:rPr>
          <w:b/>
          <w:bCs/>
          <w:i/>
          <w:iCs/>
          <w:sz w:val="22"/>
          <w:szCs w:val="22"/>
          <w:u w:val="single"/>
        </w:rPr>
      </w:pPr>
      <w:r w:rsidRPr="00307360">
        <w:rPr>
          <w:b/>
          <w:bCs/>
          <w:i/>
          <w:iCs/>
          <w:sz w:val="22"/>
          <w:szCs w:val="22"/>
          <w:u w:val="single"/>
        </w:rPr>
        <w:t>Примечания</w:t>
      </w:r>
    </w:p>
    <w:p w14:paraId="1E0478EC" w14:textId="77777777" w:rsidR="00BF4B3E" w:rsidRPr="007D3981" w:rsidRDefault="00BF4B3E" w:rsidP="00BF4B3E">
      <w:pPr>
        <w:numPr>
          <w:ilvl w:val="0"/>
          <w:numId w:val="2"/>
        </w:numPr>
        <w:spacing w:after="120"/>
        <w:ind w:left="-142" w:hanging="357"/>
        <w:jc w:val="both"/>
        <w:rPr>
          <w:bCs/>
          <w:sz w:val="22"/>
          <w:szCs w:val="22"/>
        </w:rPr>
      </w:pPr>
      <w:r w:rsidRPr="007D3981">
        <w:rPr>
          <w:bCs/>
          <w:sz w:val="22"/>
          <w:szCs w:val="22"/>
        </w:rPr>
        <w:t xml:space="preserve">Вышеприведенные ставки и тарифы включают ставки и тарифы третьих лиц, </w:t>
      </w:r>
      <w:r>
        <w:rPr>
          <w:bCs/>
          <w:sz w:val="22"/>
          <w:szCs w:val="22"/>
        </w:rPr>
        <w:t>которые являются</w:t>
      </w:r>
      <w:r w:rsidRPr="007D3981">
        <w:rPr>
          <w:bCs/>
          <w:sz w:val="22"/>
          <w:szCs w:val="22"/>
        </w:rPr>
        <w:t xml:space="preserve"> профессиональны</w:t>
      </w:r>
      <w:r>
        <w:rPr>
          <w:bCs/>
          <w:sz w:val="22"/>
          <w:szCs w:val="22"/>
        </w:rPr>
        <w:t>ми</w:t>
      </w:r>
      <w:r w:rsidRPr="007D3981">
        <w:rPr>
          <w:bCs/>
          <w:sz w:val="22"/>
          <w:szCs w:val="22"/>
        </w:rPr>
        <w:t xml:space="preserve"> участник</w:t>
      </w:r>
      <w:r>
        <w:rPr>
          <w:bCs/>
          <w:sz w:val="22"/>
          <w:szCs w:val="22"/>
        </w:rPr>
        <w:t>ами</w:t>
      </w:r>
      <w:r w:rsidRPr="007D3981">
        <w:rPr>
          <w:bCs/>
          <w:sz w:val="22"/>
          <w:szCs w:val="22"/>
        </w:rPr>
        <w:t xml:space="preserve"> рынка</w:t>
      </w:r>
      <w:r>
        <w:rPr>
          <w:bCs/>
          <w:sz w:val="22"/>
          <w:szCs w:val="22"/>
        </w:rPr>
        <w:t xml:space="preserve"> по сделкам и хранению ценных бумаг, а именно:</w:t>
      </w:r>
      <w:r w:rsidRPr="007D3981">
        <w:rPr>
          <w:bCs/>
          <w:sz w:val="22"/>
          <w:szCs w:val="22"/>
        </w:rPr>
        <w:t xml:space="preserve"> </w:t>
      </w:r>
      <w:r>
        <w:rPr>
          <w:bCs/>
          <w:sz w:val="22"/>
          <w:szCs w:val="22"/>
        </w:rPr>
        <w:t>т</w:t>
      </w:r>
      <w:r w:rsidRPr="007D3981">
        <w:rPr>
          <w:bCs/>
          <w:sz w:val="22"/>
          <w:szCs w:val="22"/>
        </w:rPr>
        <w:t>арифы АО «Казахстанская фондовая биржа», АО «Центральный депозитарий ценных бумаг», банков-</w:t>
      </w:r>
      <w:proofErr w:type="spellStart"/>
      <w:r w:rsidRPr="007D3981">
        <w:rPr>
          <w:bCs/>
          <w:sz w:val="22"/>
          <w:szCs w:val="22"/>
        </w:rPr>
        <w:t>кастодианов</w:t>
      </w:r>
      <w:proofErr w:type="spellEnd"/>
      <w:r w:rsidRPr="007D3981">
        <w:rPr>
          <w:bCs/>
          <w:sz w:val="22"/>
          <w:szCs w:val="22"/>
        </w:rPr>
        <w:t>, банков второго уровня, биржи МФЦА, Депозитария МФЦА</w:t>
      </w:r>
      <w:r>
        <w:rPr>
          <w:bCs/>
          <w:sz w:val="22"/>
          <w:szCs w:val="22"/>
        </w:rPr>
        <w:t xml:space="preserve">, </w:t>
      </w:r>
      <w:r w:rsidRPr="007D3981">
        <w:rPr>
          <w:bCs/>
          <w:sz w:val="22"/>
          <w:szCs w:val="22"/>
        </w:rPr>
        <w:t>международных брокеров-посредников</w:t>
      </w:r>
      <w:r>
        <w:rPr>
          <w:bCs/>
          <w:sz w:val="22"/>
          <w:szCs w:val="22"/>
        </w:rPr>
        <w:t xml:space="preserve"> </w:t>
      </w:r>
      <w:r w:rsidRPr="007D3981">
        <w:rPr>
          <w:bCs/>
          <w:sz w:val="22"/>
          <w:szCs w:val="22"/>
        </w:rPr>
        <w:t xml:space="preserve">и иных комиссий, включенных в сумму сделок. </w:t>
      </w:r>
    </w:p>
    <w:p w14:paraId="2C9FAA09" w14:textId="77777777" w:rsidR="00BF4B3E" w:rsidRPr="00CA0A3C" w:rsidRDefault="00BF4B3E" w:rsidP="00BF4B3E">
      <w:pPr>
        <w:pStyle w:val="a7"/>
        <w:numPr>
          <w:ilvl w:val="0"/>
          <w:numId w:val="5"/>
        </w:numPr>
        <w:spacing w:after="120"/>
        <w:ind w:left="-142"/>
        <w:jc w:val="both"/>
        <w:rPr>
          <w:bCs/>
          <w:sz w:val="22"/>
          <w:szCs w:val="22"/>
        </w:rPr>
      </w:pPr>
      <w:r w:rsidRPr="00307360">
        <w:rPr>
          <w:bCs/>
          <w:sz w:val="22"/>
          <w:szCs w:val="22"/>
          <w:lang w:val="kk-KZ"/>
        </w:rPr>
        <w:t>Вышеуказанные тарифы не включают</w:t>
      </w:r>
      <w:r w:rsidRPr="00307360">
        <w:rPr>
          <w:bCs/>
          <w:sz w:val="22"/>
          <w:szCs w:val="22"/>
          <w:lang w:val="en-US"/>
        </w:rPr>
        <w:t>:</w:t>
      </w:r>
    </w:p>
    <w:p w14:paraId="044AECDF" w14:textId="77777777" w:rsidR="00BF4B3E" w:rsidRPr="00CA0A3C" w:rsidRDefault="00BF4B3E" w:rsidP="00BF4B3E">
      <w:pPr>
        <w:pStyle w:val="a7"/>
        <w:spacing w:after="120"/>
        <w:ind w:left="-142"/>
        <w:jc w:val="both"/>
        <w:rPr>
          <w:bCs/>
          <w:sz w:val="22"/>
          <w:szCs w:val="22"/>
        </w:rPr>
      </w:pPr>
    </w:p>
    <w:p w14:paraId="496DD312" w14:textId="77777777" w:rsidR="00BF4B3E" w:rsidRPr="00E6195A" w:rsidRDefault="00BF4B3E" w:rsidP="00BF4B3E">
      <w:pPr>
        <w:pStyle w:val="a7"/>
        <w:spacing w:after="120"/>
        <w:ind w:left="-142"/>
        <w:jc w:val="both"/>
        <w:rPr>
          <w:bCs/>
          <w:sz w:val="22"/>
          <w:szCs w:val="22"/>
        </w:rPr>
      </w:pPr>
      <w:r w:rsidRPr="00307360">
        <w:rPr>
          <w:bCs/>
          <w:sz w:val="22"/>
          <w:szCs w:val="22"/>
          <w:lang w:val="kk-KZ"/>
        </w:rPr>
        <w:t>Гербовый сбор (Stamp Duty)</w:t>
      </w:r>
      <w:r w:rsidRPr="00E6195A">
        <w:rPr>
          <w:bCs/>
          <w:sz w:val="22"/>
          <w:szCs w:val="22"/>
        </w:rPr>
        <w:t>;</w:t>
      </w:r>
    </w:p>
    <w:p w14:paraId="15472BE3" w14:textId="77777777" w:rsidR="00BF4B3E" w:rsidRPr="00E6195A" w:rsidRDefault="00BF4B3E" w:rsidP="00BF4B3E">
      <w:pPr>
        <w:pStyle w:val="a7"/>
        <w:spacing w:after="120"/>
        <w:ind w:left="-142"/>
        <w:jc w:val="both"/>
        <w:rPr>
          <w:bCs/>
          <w:sz w:val="22"/>
          <w:szCs w:val="22"/>
        </w:rPr>
      </w:pPr>
    </w:p>
    <w:p w14:paraId="666B6ED7" w14:textId="77777777" w:rsidR="00BF4B3E" w:rsidRPr="007542FE" w:rsidRDefault="00BF4B3E" w:rsidP="00BF4B3E">
      <w:pPr>
        <w:pStyle w:val="a7"/>
        <w:spacing w:after="120"/>
        <w:ind w:left="-142"/>
        <w:jc w:val="both"/>
        <w:rPr>
          <w:bCs/>
          <w:sz w:val="22"/>
          <w:szCs w:val="22"/>
        </w:rPr>
      </w:pPr>
      <w:r>
        <w:rPr>
          <w:bCs/>
          <w:sz w:val="22"/>
          <w:szCs w:val="22"/>
        </w:rPr>
        <w:t xml:space="preserve">Комиссию за подачу формы </w:t>
      </w:r>
      <w:r>
        <w:rPr>
          <w:bCs/>
          <w:sz w:val="22"/>
          <w:szCs w:val="22"/>
          <w:lang w:val="en-US"/>
        </w:rPr>
        <w:t>W</w:t>
      </w:r>
      <w:r w:rsidRPr="007542FE">
        <w:rPr>
          <w:bCs/>
          <w:sz w:val="22"/>
          <w:szCs w:val="22"/>
        </w:rPr>
        <w:t>8-</w:t>
      </w:r>
      <w:r>
        <w:rPr>
          <w:bCs/>
          <w:sz w:val="22"/>
          <w:szCs w:val="22"/>
          <w:lang w:val="en-US"/>
        </w:rPr>
        <w:t>BEN</w:t>
      </w:r>
      <w:r w:rsidRPr="007542FE">
        <w:rPr>
          <w:bCs/>
          <w:sz w:val="22"/>
          <w:szCs w:val="22"/>
        </w:rPr>
        <w:t>;</w:t>
      </w:r>
    </w:p>
    <w:p w14:paraId="428823F8" w14:textId="77777777" w:rsidR="00BF4B3E" w:rsidRPr="00307360" w:rsidRDefault="00BF4B3E" w:rsidP="00BF4B3E">
      <w:pPr>
        <w:pStyle w:val="a7"/>
        <w:spacing w:after="120"/>
        <w:ind w:left="-142"/>
        <w:jc w:val="both"/>
        <w:rPr>
          <w:bCs/>
          <w:sz w:val="22"/>
          <w:szCs w:val="22"/>
        </w:rPr>
      </w:pPr>
    </w:p>
    <w:p w14:paraId="7BD8B037" w14:textId="77777777" w:rsidR="00BF4B3E" w:rsidRPr="00307360" w:rsidRDefault="00BF4B3E" w:rsidP="00BF4B3E">
      <w:pPr>
        <w:pStyle w:val="a7"/>
        <w:spacing w:after="120"/>
        <w:ind w:left="-142"/>
        <w:jc w:val="both"/>
        <w:rPr>
          <w:bCs/>
          <w:sz w:val="22"/>
          <w:szCs w:val="22"/>
        </w:rPr>
      </w:pPr>
      <w:r w:rsidRPr="00307360">
        <w:rPr>
          <w:bCs/>
          <w:sz w:val="22"/>
          <w:szCs w:val="22"/>
        </w:rPr>
        <w:t>Иные комиссии третьих лиц</w:t>
      </w:r>
      <w:r>
        <w:rPr>
          <w:bCs/>
          <w:sz w:val="22"/>
          <w:szCs w:val="22"/>
        </w:rPr>
        <w:t>,</w:t>
      </w:r>
      <w:r w:rsidRPr="00D87A40">
        <w:rPr>
          <w:bCs/>
          <w:sz w:val="22"/>
          <w:szCs w:val="22"/>
        </w:rPr>
        <w:t xml:space="preserve"> </w:t>
      </w:r>
      <w:r>
        <w:rPr>
          <w:bCs/>
          <w:sz w:val="22"/>
          <w:szCs w:val="22"/>
        </w:rPr>
        <w:t>не предусмотренные выше</w:t>
      </w:r>
      <w:r w:rsidRPr="00307360">
        <w:rPr>
          <w:bCs/>
          <w:sz w:val="22"/>
          <w:szCs w:val="22"/>
        </w:rPr>
        <w:t>.</w:t>
      </w:r>
    </w:p>
    <w:p w14:paraId="42ED26FD" w14:textId="77777777" w:rsidR="00BF4B3E" w:rsidRPr="00676455" w:rsidRDefault="00BF4B3E" w:rsidP="00BF4B3E">
      <w:pPr>
        <w:numPr>
          <w:ilvl w:val="0"/>
          <w:numId w:val="2"/>
        </w:numPr>
        <w:spacing w:after="120"/>
        <w:ind w:left="-142" w:hanging="357"/>
        <w:jc w:val="both"/>
        <w:rPr>
          <w:bCs/>
          <w:sz w:val="22"/>
          <w:szCs w:val="22"/>
        </w:rPr>
      </w:pPr>
      <w:r>
        <w:rPr>
          <w:bCs/>
          <w:sz w:val="22"/>
          <w:szCs w:val="22"/>
        </w:rPr>
        <w:t>В случае если комиссии третьих сторон превысили вышеприведенный тариф, то Компания вправе дополнительно выставить комиссию для оплаты Клиентом.</w:t>
      </w:r>
    </w:p>
    <w:p w14:paraId="1EFD9F3D" w14:textId="77777777" w:rsidR="00BF4B3E" w:rsidRPr="00307360" w:rsidRDefault="00BF4B3E" w:rsidP="00BF4B3E">
      <w:pPr>
        <w:numPr>
          <w:ilvl w:val="0"/>
          <w:numId w:val="2"/>
        </w:numPr>
        <w:spacing w:after="120"/>
        <w:ind w:left="-142" w:hanging="357"/>
        <w:jc w:val="both"/>
        <w:rPr>
          <w:bCs/>
          <w:sz w:val="22"/>
          <w:szCs w:val="22"/>
        </w:rPr>
      </w:pPr>
      <w:r w:rsidRPr="00307360">
        <w:rPr>
          <w:bCs/>
          <w:sz w:val="22"/>
          <w:szCs w:val="22"/>
        </w:rPr>
        <w:t xml:space="preserve">Любые пошлины, налоги и сборы на сделки, удерживаемые в соответствии с законодательством страны, на территории которой осуществляются сделки, не являются обязательством Компании и подлежат оплате Клиентом. </w:t>
      </w:r>
    </w:p>
    <w:p w14:paraId="02D2AD26" w14:textId="77777777" w:rsidR="00BF4B3E" w:rsidRPr="00CB2373" w:rsidRDefault="00BF4B3E" w:rsidP="00BF4B3E">
      <w:pPr>
        <w:numPr>
          <w:ilvl w:val="0"/>
          <w:numId w:val="2"/>
        </w:numPr>
        <w:spacing w:after="120"/>
        <w:ind w:left="-142" w:hanging="357"/>
        <w:jc w:val="both"/>
        <w:rPr>
          <w:bCs/>
          <w:sz w:val="22"/>
          <w:szCs w:val="22"/>
        </w:rPr>
      </w:pPr>
      <w:r w:rsidRPr="00307360">
        <w:rPr>
          <w:bCs/>
          <w:sz w:val="22"/>
          <w:szCs w:val="22"/>
        </w:rPr>
        <w:lastRenderedPageBreak/>
        <w:t xml:space="preserve">Вознаграждение Компании по сделкам </w:t>
      </w:r>
      <w:r w:rsidRPr="00307360">
        <w:rPr>
          <w:sz w:val="22"/>
          <w:szCs w:val="22"/>
        </w:rPr>
        <w:t>рассчитывается от общего объема исполненной части клиентского заказа. Так, если по одному заказу будет заключено две и более сделки, расчет комиссий производится от общей суммы заключенных сделок по этому заказу.</w:t>
      </w:r>
    </w:p>
    <w:p w14:paraId="674930F1" w14:textId="77777777" w:rsidR="00BF4B3E" w:rsidRPr="00307360" w:rsidRDefault="00BF4B3E" w:rsidP="00BF4B3E">
      <w:pPr>
        <w:numPr>
          <w:ilvl w:val="0"/>
          <w:numId w:val="2"/>
        </w:numPr>
        <w:spacing w:after="120"/>
        <w:ind w:left="-142" w:hanging="357"/>
        <w:jc w:val="both"/>
        <w:rPr>
          <w:bCs/>
          <w:sz w:val="22"/>
          <w:szCs w:val="22"/>
        </w:rPr>
      </w:pPr>
      <w:r>
        <w:rPr>
          <w:sz w:val="22"/>
          <w:szCs w:val="22"/>
        </w:rPr>
        <w:t xml:space="preserve">Вознаграждение Компании за хранение финансовых инструментов начисляется по официальному курсу Национального Банка Республики Казахстан на дату начисления вознаграждения. По долговым ценным бумагам комиссия начисляется как процент установленный тарифами от номинальной стоимости ценных бумаг, по долевым инструментам по рыночной стоимость, а в случае отсутствия рыночной стоимости применяется номинальная стоимость </w:t>
      </w:r>
    </w:p>
    <w:p w14:paraId="7DE778D9" w14:textId="77777777" w:rsidR="00BF4B3E" w:rsidRPr="00307360" w:rsidRDefault="00BF4B3E" w:rsidP="00BF4B3E">
      <w:pPr>
        <w:numPr>
          <w:ilvl w:val="0"/>
          <w:numId w:val="2"/>
        </w:numPr>
        <w:spacing w:after="120"/>
        <w:ind w:left="-142" w:hanging="357"/>
        <w:jc w:val="both"/>
        <w:rPr>
          <w:bCs/>
          <w:sz w:val="22"/>
          <w:szCs w:val="22"/>
        </w:rPr>
      </w:pPr>
      <w:r w:rsidRPr="00307360">
        <w:rPr>
          <w:bCs/>
          <w:sz w:val="22"/>
          <w:szCs w:val="22"/>
        </w:rPr>
        <w:t>Компания осуществляет списание обязательств Клиента по оплате комиссий со счета Клиента в безакцептном порядке.</w:t>
      </w:r>
    </w:p>
    <w:p w14:paraId="341411DF" w14:textId="77777777" w:rsidR="00BF4B3E" w:rsidRPr="00307360" w:rsidRDefault="00BF4B3E" w:rsidP="00BF4B3E">
      <w:pPr>
        <w:numPr>
          <w:ilvl w:val="0"/>
          <w:numId w:val="2"/>
        </w:numPr>
        <w:spacing w:after="120"/>
        <w:ind w:left="-142" w:hanging="357"/>
        <w:jc w:val="both"/>
        <w:rPr>
          <w:bCs/>
          <w:sz w:val="22"/>
          <w:szCs w:val="22"/>
        </w:rPr>
      </w:pPr>
      <w:r w:rsidRPr="00307360">
        <w:rPr>
          <w:bCs/>
          <w:sz w:val="22"/>
          <w:szCs w:val="22"/>
        </w:rPr>
        <w:t>Компания в одностороннем порядке</w:t>
      </w:r>
      <w:r>
        <w:rPr>
          <w:bCs/>
          <w:sz w:val="22"/>
          <w:szCs w:val="22"/>
        </w:rPr>
        <w:t xml:space="preserve"> в праве</w:t>
      </w:r>
      <w:r w:rsidRPr="00307360">
        <w:rPr>
          <w:bCs/>
          <w:sz w:val="22"/>
          <w:szCs w:val="22"/>
        </w:rPr>
        <w:t xml:space="preserve"> осуществить конвертацию денег из иностранной валюты в национальную валюту в сумме, достаточной для покрытия </w:t>
      </w:r>
      <w:r>
        <w:rPr>
          <w:bCs/>
          <w:sz w:val="22"/>
          <w:szCs w:val="22"/>
        </w:rPr>
        <w:t>обязательств по оплате комиссий Компании</w:t>
      </w:r>
      <w:r w:rsidRPr="00307360">
        <w:rPr>
          <w:bCs/>
          <w:sz w:val="22"/>
          <w:szCs w:val="22"/>
        </w:rPr>
        <w:t>, по курсу обслуживающего банка в день проведения конвертации.</w:t>
      </w:r>
    </w:p>
    <w:p w14:paraId="00FE675D" w14:textId="77777777" w:rsidR="00BF4B3E" w:rsidRPr="00645569" w:rsidRDefault="00BF4B3E" w:rsidP="00BF4B3E">
      <w:pPr>
        <w:pStyle w:val="a7"/>
        <w:ind w:left="1068"/>
        <w:rPr>
          <w:b/>
        </w:rPr>
      </w:pPr>
    </w:p>
    <w:p w14:paraId="3AD01BF9" w14:textId="77777777" w:rsidR="00BF4B3E" w:rsidRDefault="00BF4B3E" w:rsidP="00BF4B3E">
      <w:pPr>
        <w:spacing w:after="160" w:line="259" w:lineRule="auto"/>
      </w:pPr>
    </w:p>
    <w:p w14:paraId="5CCDFA58" w14:textId="77777777" w:rsidR="00BF4B3E" w:rsidRPr="00050045" w:rsidRDefault="00BF4B3E" w:rsidP="00BF4B3E">
      <w:pPr>
        <w:spacing w:after="160" w:line="259" w:lineRule="auto"/>
      </w:pPr>
    </w:p>
    <w:p w14:paraId="6509F3EF" w14:textId="77777777" w:rsidR="00BF4B3E" w:rsidRDefault="00BF4B3E" w:rsidP="00BF4B3E"/>
    <w:p w14:paraId="0022C33A" w14:textId="49DFFC3A" w:rsidR="00B362F8" w:rsidRDefault="00B362F8"/>
    <w:sectPr w:rsidR="00B36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BE5"/>
    <w:multiLevelType w:val="hybridMultilevel"/>
    <w:tmpl w:val="F654A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518C2"/>
    <w:multiLevelType w:val="hybridMultilevel"/>
    <w:tmpl w:val="F6189F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464B6F"/>
    <w:multiLevelType w:val="hybridMultilevel"/>
    <w:tmpl w:val="7096A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72EEC"/>
    <w:multiLevelType w:val="hybridMultilevel"/>
    <w:tmpl w:val="802C97C6"/>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4" w15:restartNumberingAfterBreak="0">
    <w:nsid w:val="757717B1"/>
    <w:multiLevelType w:val="hybridMultilevel"/>
    <w:tmpl w:val="305C8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96812"/>
    <w:multiLevelType w:val="hybridMultilevel"/>
    <w:tmpl w:val="8B0A8C80"/>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num w:numId="1" w16cid:durableId="1419332661">
    <w:abstractNumId w:val="0"/>
  </w:num>
  <w:num w:numId="2" w16cid:durableId="671837620">
    <w:abstractNumId w:val="2"/>
  </w:num>
  <w:num w:numId="3" w16cid:durableId="1177772243">
    <w:abstractNumId w:val="5"/>
  </w:num>
  <w:num w:numId="4" w16cid:durableId="748498397">
    <w:abstractNumId w:val="3"/>
  </w:num>
  <w:num w:numId="5" w16cid:durableId="1703901198">
    <w:abstractNumId w:val="1"/>
  </w:num>
  <w:num w:numId="6" w16cid:durableId="576482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D2"/>
    <w:rsid w:val="00254AD3"/>
    <w:rsid w:val="003C25F8"/>
    <w:rsid w:val="003D02D7"/>
    <w:rsid w:val="004B5BEA"/>
    <w:rsid w:val="00560A21"/>
    <w:rsid w:val="0067012C"/>
    <w:rsid w:val="00A4397D"/>
    <w:rsid w:val="00A760D2"/>
    <w:rsid w:val="00B362F8"/>
    <w:rsid w:val="00BF02E7"/>
    <w:rsid w:val="00BF4B3E"/>
    <w:rsid w:val="00C540BB"/>
    <w:rsid w:val="00FD4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D53F"/>
  <w15:chartTrackingRefBased/>
  <w15:docId w15:val="{50B343CF-AA28-458C-80B6-651F7033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BE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A760D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A760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760D2"/>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A760D2"/>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A760D2"/>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A760D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60D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60D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60D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0D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A760D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A760D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A760D2"/>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A760D2"/>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A760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60D2"/>
    <w:rPr>
      <w:rFonts w:eastAsiaTheme="majorEastAsia" w:cstheme="majorBidi"/>
      <w:color w:val="595959" w:themeColor="text1" w:themeTint="A6"/>
    </w:rPr>
  </w:style>
  <w:style w:type="character" w:customStyle="1" w:styleId="80">
    <w:name w:val="Заголовок 8 Знак"/>
    <w:basedOn w:val="a0"/>
    <w:link w:val="8"/>
    <w:uiPriority w:val="9"/>
    <w:semiHidden/>
    <w:rsid w:val="00A760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60D2"/>
    <w:rPr>
      <w:rFonts w:eastAsiaTheme="majorEastAsia" w:cstheme="majorBidi"/>
      <w:color w:val="272727" w:themeColor="text1" w:themeTint="D8"/>
    </w:rPr>
  </w:style>
  <w:style w:type="paragraph" w:styleId="a3">
    <w:name w:val="Title"/>
    <w:basedOn w:val="a"/>
    <w:next w:val="a"/>
    <w:link w:val="a4"/>
    <w:uiPriority w:val="10"/>
    <w:qFormat/>
    <w:rsid w:val="00A760D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6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0D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760D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60D2"/>
    <w:pPr>
      <w:spacing w:before="160"/>
      <w:jc w:val="center"/>
    </w:pPr>
    <w:rPr>
      <w:i/>
      <w:iCs/>
      <w:color w:val="404040" w:themeColor="text1" w:themeTint="BF"/>
    </w:rPr>
  </w:style>
  <w:style w:type="character" w:customStyle="1" w:styleId="22">
    <w:name w:val="Цитата 2 Знак"/>
    <w:basedOn w:val="a0"/>
    <w:link w:val="21"/>
    <w:uiPriority w:val="29"/>
    <w:rsid w:val="00A760D2"/>
    <w:rPr>
      <w:i/>
      <w:iCs/>
      <w:color w:val="404040" w:themeColor="text1" w:themeTint="BF"/>
    </w:rPr>
  </w:style>
  <w:style w:type="paragraph" w:styleId="a7">
    <w:name w:val="List Paragraph"/>
    <w:basedOn w:val="a"/>
    <w:uiPriority w:val="1"/>
    <w:qFormat/>
    <w:rsid w:val="00A760D2"/>
    <w:pPr>
      <w:ind w:left="720"/>
      <w:contextualSpacing/>
    </w:pPr>
  </w:style>
  <w:style w:type="character" w:styleId="a8">
    <w:name w:val="Intense Emphasis"/>
    <w:basedOn w:val="a0"/>
    <w:uiPriority w:val="21"/>
    <w:qFormat/>
    <w:rsid w:val="00A760D2"/>
    <w:rPr>
      <w:i/>
      <w:iCs/>
      <w:color w:val="2E74B5" w:themeColor="accent1" w:themeShade="BF"/>
    </w:rPr>
  </w:style>
  <w:style w:type="paragraph" w:styleId="a9">
    <w:name w:val="Intense Quote"/>
    <w:basedOn w:val="a"/>
    <w:next w:val="a"/>
    <w:link w:val="aa"/>
    <w:uiPriority w:val="30"/>
    <w:qFormat/>
    <w:rsid w:val="00A760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A760D2"/>
    <w:rPr>
      <w:i/>
      <w:iCs/>
      <w:color w:val="2E74B5" w:themeColor="accent1" w:themeShade="BF"/>
    </w:rPr>
  </w:style>
  <w:style w:type="character" w:styleId="ab">
    <w:name w:val="Intense Reference"/>
    <w:basedOn w:val="a0"/>
    <w:uiPriority w:val="32"/>
    <w:qFormat/>
    <w:rsid w:val="00A760D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Muratova</dc:creator>
  <cp:keywords/>
  <dc:description/>
  <cp:lastModifiedBy>Vladislav Roslyakov</cp:lastModifiedBy>
  <cp:revision>5</cp:revision>
  <dcterms:created xsi:type="dcterms:W3CDTF">2025-04-16T11:22:00Z</dcterms:created>
  <dcterms:modified xsi:type="dcterms:W3CDTF">2025-04-17T04:50:00Z</dcterms:modified>
</cp:coreProperties>
</file>