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92127" w14:textId="77777777" w:rsidR="0049127B" w:rsidRPr="00190230" w:rsidRDefault="0049127B" w:rsidP="00A06A67">
      <w:pPr>
        <w:spacing w:after="0" w:line="240" w:lineRule="auto"/>
        <w:jc w:val="right"/>
        <w:rPr>
          <w:rFonts w:ascii="Times New Roman" w:hAnsi="Times New Roman" w:cs="Times New Roman"/>
          <w:sz w:val="20"/>
          <w:szCs w:val="20"/>
          <w:lang w:val="en-US"/>
        </w:rPr>
      </w:pPr>
      <w:r w:rsidRPr="00190230">
        <w:rPr>
          <w:rFonts w:ascii="Times New Roman" w:hAnsi="Times New Roman" w:cs="Times New Roman"/>
          <w:sz w:val="20"/>
          <w:szCs w:val="20"/>
          <w:lang w:val="en-US"/>
        </w:rPr>
        <w:t xml:space="preserve">Appendix No. 3 </w:t>
      </w:r>
    </w:p>
    <w:p w14:paraId="3C67672B" w14:textId="3E58B570" w:rsidR="0049127B" w:rsidRPr="00190230" w:rsidRDefault="0049127B" w:rsidP="00A06A67">
      <w:pPr>
        <w:spacing w:after="0" w:line="240" w:lineRule="auto"/>
        <w:jc w:val="right"/>
        <w:rPr>
          <w:rFonts w:ascii="Times New Roman" w:hAnsi="Times New Roman" w:cs="Times New Roman"/>
          <w:sz w:val="20"/>
          <w:szCs w:val="20"/>
          <w:lang w:val="en-US"/>
        </w:rPr>
      </w:pPr>
      <w:r w:rsidRPr="00190230">
        <w:rPr>
          <w:rFonts w:ascii="Times New Roman" w:hAnsi="Times New Roman" w:cs="Times New Roman"/>
          <w:sz w:val="20"/>
          <w:szCs w:val="20"/>
          <w:lang w:val="en-US"/>
        </w:rPr>
        <w:t xml:space="preserve">to </w:t>
      </w:r>
      <w:r w:rsidR="00A06A67" w:rsidRPr="00190230">
        <w:rPr>
          <w:rFonts w:ascii="Times New Roman" w:hAnsi="Times New Roman" w:cs="Times New Roman"/>
          <w:sz w:val="20"/>
          <w:szCs w:val="20"/>
          <w:lang w:val="en-US"/>
        </w:rPr>
        <w:t xml:space="preserve">No. 3 </w:t>
      </w:r>
      <w:r w:rsidRPr="00190230">
        <w:rPr>
          <w:rFonts w:ascii="Times New Roman" w:hAnsi="Times New Roman" w:cs="Times New Roman"/>
          <w:sz w:val="20"/>
          <w:szCs w:val="20"/>
          <w:lang w:val="en-US"/>
        </w:rPr>
        <w:t xml:space="preserve">protocol of the Tariff Committee </w:t>
      </w:r>
    </w:p>
    <w:p w14:paraId="6D45BF95" w14:textId="77777777" w:rsidR="00A06A67" w:rsidRPr="00190230" w:rsidRDefault="0049127B" w:rsidP="00A06A67">
      <w:pPr>
        <w:spacing w:after="0" w:line="240" w:lineRule="auto"/>
        <w:jc w:val="right"/>
        <w:rPr>
          <w:rFonts w:ascii="Times New Roman" w:hAnsi="Times New Roman" w:cs="Times New Roman"/>
          <w:sz w:val="20"/>
          <w:szCs w:val="20"/>
          <w:lang w:val="en-US"/>
        </w:rPr>
      </w:pPr>
      <w:proofErr w:type="spellStart"/>
      <w:r w:rsidRPr="00190230">
        <w:rPr>
          <w:rFonts w:ascii="Times New Roman" w:hAnsi="Times New Roman" w:cs="Times New Roman"/>
          <w:sz w:val="20"/>
          <w:szCs w:val="20"/>
          <w:lang w:val="en-US"/>
        </w:rPr>
        <w:t>SkyBridge</w:t>
      </w:r>
      <w:proofErr w:type="spellEnd"/>
      <w:r w:rsidRPr="00190230">
        <w:rPr>
          <w:rFonts w:ascii="Times New Roman" w:hAnsi="Times New Roman" w:cs="Times New Roman"/>
          <w:sz w:val="20"/>
          <w:szCs w:val="20"/>
          <w:lang w:val="en-US"/>
        </w:rPr>
        <w:t xml:space="preserve"> Invest JSC </w:t>
      </w:r>
    </w:p>
    <w:p w14:paraId="1362D24B" w14:textId="0CBA9729" w:rsidR="00B362F8" w:rsidRPr="00190230" w:rsidRDefault="0049127B" w:rsidP="00A06A67">
      <w:pPr>
        <w:spacing w:after="0" w:line="240" w:lineRule="auto"/>
        <w:jc w:val="right"/>
        <w:rPr>
          <w:rFonts w:ascii="Times New Roman" w:hAnsi="Times New Roman" w:cs="Times New Roman"/>
          <w:sz w:val="20"/>
          <w:szCs w:val="20"/>
          <w:lang w:val="en-US"/>
        </w:rPr>
      </w:pPr>
      <w:r w:rsidRPr="00190230">
        <w:rPr>
          <w:rFonts w:ascii="Times New Roman" w:hAnsi="Times New Roman" w:cs="Times New Roman"/>
          <w:sz w:val="20"/>
          <w:szCs w:val="20"/>
          <w:lang w:val="en-US"/>
        </w:rPr>
        <w:t>dated April 15, 2025</w:t>
      </w:r>
    </w:p>
    <w:p w14:paraId="0D1371DF" w14:textId="77777777" w:rsidR="00A06A67" w:rsidRPr="00190230" w:rsidRDefault="00A06A67" w:rsidP="00A06A67">
      <w:pPr>
        <w:spacing w:after="0" w:line="240" w:lineRule="auto"/>
        <w:jc w:val="right"/>
        <w:rPr>
          <w:rFonts w:ascii="Times New Roman" w:hAnsi="Times New Roman" w:cs="Times New Roman"/>
          <w:sz w:val="20"/>
          <w:szCs w:val="20"/>
          <w:lang w:val="en-US"/>
        </w:rPr>
      </w:pPr>
    </w:p>
    <w:p w14:paraId="5427578C" w14:textId="673E509F" w:rsidR="00BF1628" w:rsidRPr="00190230" w:rsidRDefault="00715921" w:rsidP="00BF1628">
      <w:pPr>
        <w:jc w:val="center"/>
        <w:rPr>
          <w:rFonts w:ascii="Times New Roman" w:hAnsi="Times New Roman" w:cs="Times New Roman"/>
          <w:b/>
          <w:bCs/>
          <w:sz w:val="20"/>
          <w:szCs w:val="20"/>
          <w:lang w:val="en-US"/>
        </w:rPr>
      </w:pPr>
      <w:r w:rsidRPr="00190230">
        <w:rPr>
          <w:rFonts w:ascii="Times New Roman" w:eastAsiaTheme="minorEastAsia" w:hAnsi="Times New Roman" w:cs="Times New Roman"/>
          <w:b/>
          <w:bCs/>
          <w:sz w:val="20"/>
          <w:szCs w:val="20"/>
          <w:lang w:val="en-US"/>
        </w:rPr>
        <w:t xml:space="preserve">Tariffs of </w:t>
      </w:r>
      <w:proofErr w:type="spellStart"/>
      <w:r w:rsidRPr="00190230">
        <w:rPr>
          <w:rFonts w:ascii="Times New Roman" w:eastAsiaTheme="minorEastAsia" w:hAnsi="Times New Roman" w:cs="Times New Roman"/>
          <w:b/>
          <w:bCs/>
          <w:sz w:val="20"/>
          <w:szCs w:val="20"/>
          <w:lang w:val="en-US"/>
        </w:rPr>
        <w:t>SkyBridge</w:t>
      </w:r>
      <w:proofErr w:type="spellEnd"/>
      <w:r w:rsidRPr="00190230">
        <w:rPr>
          <w:rFonts w:ascii="Times New Roman" w:eastAsiaTheme="minorEastAsia" w:hAnsi="Times New Roman" w:cs="Times New Roman"/>
          <w:b/>
          <w:bCs/>
          <w:sz w:val="20"/>
          <w:szCs w:val="20"/>
          <w:lang w:val="en-US"/>
        </w:rPr>
        <w:t xml:space="preserve"> Invest JSC for resident individuals for the provision of brokerage and nominal holding services</w:t>
      </w:r>
    </w:p>
    <w:tbl>
      <w:tblPr>
        <w:tblW w:w="10207" w:type="dxa"/>
        <w:tblInd w:w="-577" w:type="dxa"/>
        <w:tblLook w:val="04A0" w:firstRow="1" w:lastRow="0" w:firstColumn="1" w:lastColumn="0" w:noHBand="0" w:noVBand="1"/>
      </w:tblPr>
      <w:tblGrid>
        <w:gridCol w:w="4962"/>
        <w:gridCol w:w="5245"/>
      </w:tblGrid>
      <w:tr w:rsidR="00BF1628" w:rsidRPr="00190230" w14:paraId="281A4A42" w14:textId="77777777" w:rsidTr="006A0EC0">
        <w:trPr>
          <w:trHeight w:val="750"/>
          <w:tblHeader/>
        </w:trPr>
        <w:tc>
          <w:tcPr>
            <w:tcW w:w="4962" w:type="dxa"/>
            <w:tcBorders>
              <w:top w:val="single" w:sz="8" w:space="0" w:color="auto"/>
              <w:left w:val="single" w:sz="8" w:space="0" w:color="auto"/>
              <w:bottom w:val="single" w:sz="4" w:space="0" w:color="auto"/>
              <w:right w:val="single" w:sz="4" w:space="0" w:color="auto"/>
            </w:tcBorders>
            <w:shd w:val="clear" w:color="000000" w:fill="BFBFBF"/>
            <w:vAlign w:val="center"/>
            <w:hideMark/>
          </w:tcPr>
          <w:p w14:paraId="0456850F" w14:textId="1248BF88" w:rsidR="00BF1628" w:rsidRPr="00190230" w:rsidRDefault="00715921" w:rsidP="006A0EC0">
            <w:pPr>
              <w:jc w:val="center"/>
              <w:rPr>
                <w:rFonts w:ascii="Times New Roman" w:hAnsi="Times New Roman" w:cs="Times New Roman"/>
                <w:b/>
                <w:sz w:val="20"/>
                <w:szCs w:val="20"/>
              </w:rPr>
            </w:pPr>
            <w:r w:rsidRPr="00190230">
              <w:rPr>
                <w:rFonts w:ascii="Times New Roman" w:hAnsi="Times New Roman" w:cs="Times New Roman"/>
                <w:b/>
                <w:sz w:val="20"/>
                <w:szCs w:val="20"/>
              </w:rPr>
              <w:t xml:space="preserve">Type </w:t>
            </w:r>
            <w:proofErr w:type="spellStart"/>
            <w:r w:rsidRPr="00190230">
              <w:rPr>
                <w:rFonts w:ascii="Times New Roman" w:hAnsi="Times New Roman" w:cs="Times New Roman"/>
                <w:b/>
                <w:sz w:val="20"/>
                <w:szCs w:val="20"/>
              </w:rPr>
              <w:t>of</w:t>
            </w:r>
            <w:proofErr w:type="spellEnd"/>
            <w:r w:rsidRPr="00190230">
              <w:rPr>
                <w:rFonts w:ascii="Times New Roman" w:hAnsi="Times New Roman" w:cs="Times New Roman"/>
                <w:b/>
                <w:sz w:val="20"/>
                <w:szCs w:val="20"/>
              </w:rPr>
              <w:t xml:space="preserve"> </w:t>
            </w:r>
            <w:proofErr w:type="spellStart"/>
            <w:r w:rsidRPr="00190230">
              <w:rPr>
                <w:rFonts w:ascii="Times New Roman" w:hAnsi="Times New Roman" w:cs="Times New Roman"/>
                <w:b/>
                <w:sz w:val="20"/>
                <w:szCs w:val="20"/>
              </w:rPr>
              <w:t>operation</w:t>
            </w:r>
            <w:proofErr w:type="spellEnd"/>
          </w:p>
        </w:tc>
        <w:tc>
          <w:tcPr>
            <w:tcW w:w="5245" w:type="dxa"/>
            <w:tcBorders>
              <w:top w:val="single" w:sz="8" w:space="0" w:color="auto"/>
              <w:left w:val="nil"/>
              <w:bottom w:val="single" w:sz="4" w:space="0" w:color="auto"/>
              <w:right w:val="single" w:sz="4" w:space="0" w:color="auto"/>
            </w:tcBorders>
            <w:shd w:val="clear" w:color="000000" w:fill="BFBFBF"/>
            <w:vAlign w:val="center"/>
            <w:hideMark/>
          </w:tcPr>
          <w:p w14:paraId="063B32D8" w14:textId="4406A228" w:rsidR="00BF1628" w:rsidRPr="00190230" w:rsidRDefault="006956DB" w:rsidP="006A0EC0">
            <w:pPr>
              <w:jc w:val="center"/>
              <w:rPr>
                <w:rFonts w:ascii="Times New Roman" w:hAnsi="Times New Roman" w:cs="Times New Roman"/>
                <w:b/>
                <w:bCs/>
                <w:sz w:val="20"/>
                <w:szCs w:val="20"/>
              </w:rPr>
            </w:pPr>
            <w:r w:rsidRPr="00190230">
              <w:rPr>
                <w:rFonts w:ascii="Times New Roman" w:hAnsi="Times New Roman" w:cs="Times New Roman"/>
                <w:b/>
                <w:bCs/>
                <w:sz w:val="20"/>
                <w:szCs w:val="20"/>
                <w:lang w:val="en-US"/>
              </w:rPr>
              <w:t>Fee</w:t>
            </w:r>
            <w:r w:rsidR="00715921" w:rsidRPr="00190230">
              <w:rPr>
                <w:rFonts w:ascii="Times New Roman" w:hAnsi="Times New Roman" w:cs="Times New Roman"/>
                <w:b/>
                <w:bCs/>
                <w:sz w:val="20"/>
                <w:szCs w:val="20"/>
              </w:rPr>
              <w:t xml:space="preserve"> </w:t>
            </w:r>
            <w:proofErr w:type="spellStart"/>
            <w:r w:rsidR="00715921" w:rsidRPr="00190230">
              <w:rPr>
                <w:rFonts w:ascii="Times New Roman" w:hAnsi="Times New Roman" w:cs="Times New Roman"/>
                <w:b/>
                <w:bCs/>
                <w:sz w:val="20"/>
                <w:szCs w:val="20"/>
              </w:rPr>
              <w:t>for</w:t>
            </w:r>
            <w:proofErr w:type="spellEnd"/>
            <w:r w:rsidR="00715921" w:rsidRPr="00190230">
              <w:rPr>
                <w:rFonts w:ascii="Times New Roman" w:hAnsi="Times New Roman" w:cs="Times New Roman"/>
                <w:b/>
                <w:bCs/>
                <w:sz w:val="20"/>
                <w:szCs w:val="20"/>
              </w:rPr>
              <w:t xml:space="preserve"> </w:t>
            </w:r>
            <w:proofErr w:type="spellStart"/>
            <w:r w:rsidR="00715921" w:rsidRPr="00190230">
              <w:rPr>
                <w:rFonts w:ascii="Times New Roman" w:hAnsi="Times New Roman" w:cs="Times New Roman"/>
                <w:b/>
                <w:bCs/>
                <w:sz w:val="20"/>
                <w:szCs w:val="20"/>
              </w:rPr>
              <w:t>individuals</w:t>
            </w:r>
            <w:proofErr w:type="spellEnd"/>
          </w:p>
        </w:tc>
      </w:tr>
      <w:tr w:rsidR="00BF1628" w:rsidRPr="00190230" w14:paraId="6AC648FF" w14:textId="77777777" w:rsidTr="006A0EC0">
        <w:trPr>
          <w:cantSplit/>
          <w:trHeight w:val="424"/>
          <w:tblHeader/>
        </w:trPr>
        <w:tc>
          <w:tcPr>
            <w:tcW w:w="10207" w:type="dxa"/>
            <w:gridSpan w:val="2"/>
            <w:tcBorders>
              <w:top w:val="single" w:sz="8" w:space="0" w:color="auto"/>
              <w:left w:val="single" w:sz="8" w:space="0" w:color="auto"/>
              <w:bottom w:val="single" w:sz="4" w:space="0" w:color="auto"/>
              <w:right w:val="single" w:sz="4" w:space="0" w:color="auto"/>
            </w:tcBorders>
            <w:shd w:val="clear" w:color="auto" w:fill="0070C0"/>
            <w:vAlign w:val="center"/>
          </w:tcPr>
          <w:p w14:paraId="139F8BE3" w14:textId="40741F06" w:rsidR="00BF1628" w:rsidRPr="00190230" w:rsidRDefault="00AC33C8" w:rsidP="006A0EC0">
            <w:pPr>
              <w:jc w:val="center"/>
              <w:rPr>
                <w:rFonts w:ascii="Times New Roman" w:hAnsi="Times New Roman" w:cs="Times New Roman"/>
                <w:b/>
                <w:bCs/>
                <w:sz w:val="20"/>
                <w:szCs w:val="20"/>
              </w:rPr>
            </w:pPr>
            <w:proofErr w:type="spellStart"/>
            <w:r w:rsidRPr="00190230">
              <w:rPr>
                <w:rFonts w:ascii="Times New Roman" w:hAnsi="Times New Roman" w:cs="Times New Roman"/>
                <w:b/>
                <w:color w:val="FFFFFF"/>
                <w:sz w:val="20"/>
                <w:szCs w:val="20"/>
              </w:rPr>
              <w:t>Nominal</w:t>
            </w:r>
            <w:proofErr w:type="spellEnd"/>
            <w:r w:rsidRPr="00190230">
              <w:rPr>
                <w:rFonts w:ascii="Times New Roman" w:hAnsi="Times New Roman" w:cs="Times New Roman"/>
                <w:b/>
                <w:color w:val="FFFFFF"/>
                <w:sz w:val="20"/>
                <w:szCs w:val="20"/>
              </w:rPr>
              <w:t xml:space="preserve"> </w:t>
            </w:r>
            <w:proofErr w:type="spellStart"/>
            <w:r w:rsidRPr="00190230">
              <w:rPr>
                <w:rFonts w:ascii="Times New Roman" w:hAnsi="Times New Roman" w:cs="Times New Roman"/>
                <w:b/>
                <w:color w:val="FFFFFF"/>
                <w:sz w:val="20"/>
                <w:szCs w:val="20"/>
              </w:rPr>
              <w:t>holding</w:t>
            </w:r>
            <w:proofErr w:type="spellEnd"/>
            <w:r w:rsidRPr="00190230">
              <w:rPr>
                <w:rFonts w:ascii="Times New Roman" w:hAnsi="Times New Roman" w:cs="Times New Roman"/>
                <w:b/>
                <w:color w:val="FFFFFF"/>
                <w:sz w:val="20"/>
                <w:szCs w:val="20"/>
              </w:rPr>
              <w:t xml:space="preserve"> </w:t>
            </w:r>
            <w:proofErr w:type="spellStart"/>
            <w:r w:rsidRPr="00190230">
              <w:rPr>
                <w:rFonts w:ascii="Times New Roman" w:hAnsi="Times New Roman" w:cs="Times New Roman"/>
                <w:b/>
                <w:color w:val="FFFFFF"/>
                <w:sz w:val="20"/>
                <w:szCs w:val="20"/>
              </w:rPr>
              <w:t>services</w:t>
            </w:r>
            <w:proofErr w:type="spellEnd"/>
          </w:p>
        </w:tc>
      </w:tr>
      <w:tr w:rsidR="00BF1628" w:rsidRPr="00190230" w14:paraId="7675F70B" w14:textId="77777777" w:rsidTr="006A0EC0">
        <w:trPr>
          <w:trHeight w:val="510"/>
        </w:trPr>
        <w:tc>
          <w:tcPr>
            <w:tcW w:w="4962" w:type="dxa"/>
            <w:tcBorders>
              <w:top w:val="nil"/>
              <w:left w:val="single" w:sz="8" w:space="0" w:color="auto"/>
              <w:bottom w:val="single" w:sz="4" w:space="0" w:color="auto"/>
              <w:right w:val="single" w:sz="4" w:space="0" w:color="auto"/>
            </w:tcBorders>
            <w:shd w:val="clear" w:color="auto" w:fill="auto"/>
            <w:vAlign w:val="center"/>
            <w:hideMark/>
          </w:tcPr>
          <w:p w14:paraId="53EB4E0E" w14:textId="36047A93" w:rsidR="00BF1628" w:rsidRPr="00190230" w:rsidRDefault="00C8307D" w:rsidP="006A0EC0">
            <w:pPr>
              <w:rPr>
                <w:rFonts w:ascii="Times New Roman" w:hAnsi="Times New Roman" w:cs="Times New Roman"/>
                <w:sz w:val="20"/>
                <w:szCs w:val="20"/>
                <w:lang w:val="en-US"/>
              </w:rPr>
            </w:pPr>
            <w:r w:rsidRPr="00190230">
              <w:rPr>
                <w:rFonts w:ascii="Times New Roman" w:hAnsi="Times New Roman" w:cs="Times New Roman"/>
                <w:sz w:val="20"/>
                <w:szCs w:val="20"/>
                <w:lang w:val="en-US"/>
              </w:rPr>
              <w:t>Opening/maintaining/closing a personal account</w:t>
            </w:r>
          </w:p>
        </w:tc>
        <w:tc>
          <w:tcPr>
            <w:tcW w:w="5245" w:type="dxa"/>
            <w:tcBorders>
              <w:top w:val="nil"/>
              <w:left w:val="nil"/>
              <w:bottom w:val="single" w:sz="4" w:space="0" w:color="auto"/>
              <w:right w:val="single" w:sz="4" w:space="0" w:color="auto"/>
            </w:tcBorders>
            <w:shd w:val="clear" w:color="auto" w:fill="auto"/>
            <w:vAlign w:val="center"/>
            <w:hideMark/>
          </w:tcPr>
          <w:p w14:paraId="051E4CD3" w14:textId="4FEE3F2A" w:rsidR="00BF1628" w:rsidRPr="00190230" w:rsidRDefault="00C8307D" w:rsidP="006A0EC0">
            <w:pPr>
              <w:rPr>
                <w:rFonts w:ascii="Times New Roman" w:hAnsi="Times New Roman" w:cs="Times New Roman"/>
                <w:sz w:val="20"/>
                <w:szCs w:val="20"/>
              </w:rPr>
            </w:pPr>
            <w:r w:rsidRPr="00190230">
              <w:rPr>
                <w:rFonts w:ascii="Times New Roman" w:hAnsi="Times New Roman" w:cs="Times New Roman"/>
                <w:sz w:val="20"/>
                <w:szCs w:val="20"/>
                <w:lang w:val="en-US"/>
              </w:rPr>
              <w:t>Free</w:t>
            </w:r>
          </w:p>
        </w:tc>
      </w:tr>
      <w:tr w:rsidR="00BF1628" w:rsidRPr="00027DF8" w14:paraId="4F3D4338" w14:textId="77777777" w:rsidTr="006A0EC0">
        <w:trPr>
          <w:trHeight w:val="999"/>
        </w:trPr>
        <w:tc>
          <w:tcPr>
            <w:tcW w:w="4962" w:type="dxa"/>
            <w:tcBorders>
              <w:top w:val="nil"/>
              <w:left w:val="single" w:sz="8" w:space="0" w:color="auto"/>
              <w:bottom w:val="single" w:sz="4" w:space="0" w:color="auto"/>
              <w:right w:val="single" w:sz="4" w:space="0" w:color="auto"/>
            </w:tcBorders>
            <w:shd w:val="clear" w:color="auto" w:fill="auto"/>
            <w:vAlign w:val="center"/>
            <w:hideMark/>
          </w:tcPr>
          <w:p w14:paraId="7B951AD8" w14:textId="363DB79F" w:rsidR="00BF1628" w:rsidRPr="00190230" w:rsidRDefault="001358AE" w:rsidP="006A0EC0">
            <w:pPr>
              <w:rPr>
                <w:rFonts w:ascii="Times New Roman" w:hAnsi="Times New Roman" w:cs="Times New Roman"/>
                <w:sz w:val="20"/>
                <w:szCs w:val="20"/>
                <w:lang w:val="en-US"/>
              </w:rPr>
            </w:pPr>
            <w:r w:rsidRPr="00190230">
              <w:rPr>
                <w:rFonts w:ascii="Times New Roman" w:hAnsi="Times New Roman" w:cs="Times New Roman"/>
                <w:sz w:val="20"/>
                <w:szCs w:val="20"/>
                <w:lang w:val="en-US"/>
              </w:rPr>
              <w:t>Input/output from nominal holding of financial instruments</w:t>
            </w:r>
          </w:p>
          <w:p w14:paraId="2233D23F" w14:textId="77777777" w:rsidR="00BF1628" w:rsidRPr="00190230" w:rsidRDefault="00BF1628" w:rsidP="006A0EC0">
            <w:pPr>
              <w:rPr>
                <w:rFonts w:ascii="Times New Roman" w:hAnsi="Times New Roman" w:cs="Times New Roman"/>
                <w:sz w:val="20"/>
                <w:szCs w:val="20"/>
                <w:lang w:val="en-US"/>
              </w:rPr>
            </w:pPr>
          </w:p>
        </w:tc>
        <w:tc>
          <w:tcPr>
            <w:tcW w:w="5245" w:type="dxa"/>
            <w:tcBorders>
              <w:top w:val="nil"/>
              <w:left w:val="nil"/>
              <w:bottom w:val="single" w:sz="4" w:space="0" w:color="auto"/>
              <w:right w:val="single" w:sz="4" w:space="0" w:color="auto"/>
            </w:tcBorders>
            <w:shd w:val="clear" w:color="auto" w:fill="auto"/>
            <w:vAlign w:val="center"/>
            <w:hideMark/>
          </w:tcPr>
          <w:p w14:paraId="39158571" w14:textId="74B7DF9E" w:rsidR="00BF1628" w:rsidRPr="00190230" w:rsidRDefault="006166A4" w:rsidP="00BF1628">
            <w:pPr>
              <w:numPr>
                <w:ilvl w:val="0"/>
                <w:numId w:val="1"/>
              </w:numPr>
              <w:spacing w:after="120" w:line="240" w:lineRule="auto"/>
              <w:ind w:left="227" w:hanging="227"/>
              <w:rPr>
                <w:rFonts w:ascii="Times New Roman" w:hAnsi="Times New Roman" w:cs="Times New Roman"/>
                <w:sz w:val="20"/>
                <w:szCs w:val="20"/>
                <w:lang w:val="en-US"/>
              </w:rPr>
            </w:pPr>
            <w:r w:rsidRPr="00190230">
              <w:rPr>
                <w:rFonts w:ascii="Times New Roman" w:hAnsi="Times New Roman" w:cs="Times New Roman"/>
                <w:sz w:val="20"/>
                <w:szCs w:val="20"/>
                <w:lang w:val="en-US"/>
              </w:rPr>
              <w:t>Entering any type of financial instrument - free</w:t>
            </w:r>
            <w:r w:rsidR="00BF1628" w:rsidRPr="00190230">
              <w:rPr>
                <w:rFonts w:ascii="Times New Roman" w:hAnsi="Times New Roman" w:cs="Times New Roman"/>
                <w:sz w:val="20"/>
                <w:szCs w:val="20"/>
                <w:lang w:val="en-US"/>
              </w:rPr>
              <w:t>,</w:t>
            </w:r>
          </w:p>
          <w:p w14:paraId="09AD0FA1" w14:textId="387DB565" w:rsidR="00BF1628" w:rsidRPr="00190230" w:rsidRDefault="00BB5278" w:rsidP="00BF1628">
            <w:pPr>
              <w:numPr>
                <w:ilvl w:val="0"/>
                <w:numId w:val="1"/>
              </w:numPr>
              <w:spacing w:after="120" w:line="240" w:lineRule="auto"/>
              <w:ind w:left="227" w:hanging="227"/>
              <w:rPr>
                <w:rFonts w:ascii="Times New Roman" w:hAnsi="Times New Roman" w:cs="Times New Roman"/>
                <w:sz w:val="20"/>
                <w:szCs w:val="20"/>
                <w:lang w:val="en-US"/>
              </w:rPr>
            </w:pPr>
            <w:r w:rsidRPr="00190230">
              <w:rPr>
                <w:rFonts w:ascii="Times New Roman" w:hAnsi="Times New Roman" w:cs="Times New Roman"/>
                <w:sz w:val="20"/>
                <w:szCs w:val="20"/>
                <w:lang w:val="en-US"/>
              </w:rPr>
              <w:t>Withdrawal of securities (for each type identified by NIN/ISIN) – 10 MCI</w:t>
            </w:r>
          </w:p>
        </w:tc>
      </w:tr>
      <w:tr w:rsidR="00BF1628" w:rsidRPr="00027DF8" w14:paraId="2FE16EC6" w14:textId="77777777" w:rsidTr="006A0EC0">
        <w:trPr>
          <w:trHeight w:val="405"/>
        </w:trPr>
        <w:tc>
          <w:tcPr>
            <w:tcW w:w="4962" w:type="dxa"/>
            <w:tcBorders>
              <w:top w:val="single" w:sz="4" w:space="0" w:color="auto"/>
              <w:left w:val="single" w:sz="8" w:space="0" w:color="auto"/>
              <w:bottom w:val="single" w:sz="4" w:space="0" w:color="auto"/>
              <w:right w:val="single" w:sz="4" w:space="0" w:color="auto"/>
            </w:tcBorders>
            <w:shd w:val="clear" w:color="auto" w:fill="auto"/>
            <w:vAlign w:val="center"/>
          </w:tcPr>
          <w:p w14:paraId="7C4889DE" w14:textId="3C0634D3" w:rsidR="00BF1628" w:rsidRPr="00190230" w:rsidRDefault="001828C6" w:rsidP="006A0EC0">
            <w:pPr>
              <w:rPr>
                <w:rFonts w:ascii="Times New Roman" w:hAnsi="Times New Roman" w:cs="Times New Roman"/>
                <w:sz w:val="20"/>
                <w:szCs w:val="20"/>
                <w:lang w:val="en-US"/>
              </w:rPr>
            </w:pPr>
            <w:r w:rsidRPr="00190230">
              <w:rPr>
                <w:rFonts w:ascii="Times New Roman" w:hAnsi="Times New Roman" w:cs="Times New Roman"/>
                <w:sz w:val="20"/>
                <w:szCs w:val="20"/>
                <w:lang w:val="en-US"/>
              </w:rPr>
              <w:t>Transfer of funds in tenge</w:t>
            </w:r>
          </w:p>
        </w:tc>
        <w:tc>
          <w:tcPr>
            <w:tcW w:w="5245" w:type="dxa"/>
            <w:tcBorders>
              <w:top w:val="single" w:sz="4" w:space="0" w:color="auto"/>
              <w:left w:val="nil"/>
              <w:bottom w:val="single" w:sz="4" w:space="0" w:color="auto"/>
              <w:right w:val="single" w:sz="4" w:space="0" w:color="auto"/>
            </w:tcBorders>
            <w:shd w:val="clear" w:color="auto" w:fill="auto"/>
            <w:vAlign w:val="center"/>
          </w:tcPr>
          <w:p w14:paraId="101B6E8B" w14:textId="77777777" w:rsidR="001828C6" w:rsidRPr="00190230" w:rsidRDefault="001828C6" w:rsidP="00BF1628">
            <w:pPr>
              <w:pStyle w:val="a7"/>
              <w:numPr>
                <w:ilvl w:val="0"/>
                <w:numId w:val="3"/>
              </w:numPr>
              <w:spacing w:after="0" w:line="240" w:lineRule="auto"/>
              <w:ind w:left="169" w:hanging="141"/>
              <w:rPr>
                <w:rFonts w:ascii="Times New Roman" w:hAnsi="Times New Roman" w:cs="Times New Roman"/>
                <w:sz w:val="20"/>
                <w:szCs w:val="20"/>
                <w:lang w:val="en-US"/>
              </w:rPr>
            </w:pPr>
            <w:r w:rsidRPr="00190230">
              <w:rPr>
                <w:rFonts w:ascii="Times New Roman" w:hAnsi="Times New Roman" w:cs="Times New Roman"/>
                <w:sz w:val="20"/>
                <w:szCs w:val="20"/>
                <w:lang w:val="en-US"/>
              </w:rPr>
              <w:t xml:space="preserve"> Before 13:00 – 0.15%, not less than 0.1 MCI and not more than 1 MCI </w:t>
            </w:r>
          </w:p>
          <w:p w14:paraId="2E7DEC5D" w14:textId="076C75BC" w:rsidR="00BF1628" w:rsidRPr="00190230" w:rsidRDefault="001828C6" w:rsidP="00BF1628">
            <w:pPr>
              <w:pStyle w:val="a7"/>
              <w:numPr>
                <w:ilvl w:val="0"/>
                <w:numId w:val="3"/>
              </w:numPr>
              <w:spacing w:after="0" w:line="240" w:lineRule="auto"/>
              <w:ind w:left="169" w:hanging="141"/>
              <w:rPr>
                <w:rFonts w:ascii="Times New Roman" w:hAnsi="Times New Roman" w:cs="Times New Roman"/>
                <w:sz w:val="20"/>
                <w:szCs w:val="20"/>
                <w:lang w:val="en-US"/>
              </w:rPr>
            </w:pPr>
            <w:r w:rsidRPr="00190230">
              <w:rPr>
                <w:rFonts w:ascii="Times New Roman" w:hAnsi="Times New Roman" w:cs="Times New Roman"/>
                <w:sz w:val="20"/>
                <w:szCs w:val="20"/>
                <w:lang w:val="en-US"/>
              </w:rPr>
              <w:t xml:space="preserve"> After 13:00 – 0.25%, not less than 0.1 MCI and not more than 2 MCI</w:t>
            </w:r>
          </w:p>
        </w:tc>
      </w:tr>
      <w:tr w:rsidR="00BF1628" w:rsidRPr="00027DF8" w14:paraId="12952EC8" w14:textId="77777777" w:rsidTr="006A0EC0">
        <w:trPr>
          <w:trHeight w:val="613"/>
        </w:trPr>
        <w:tc>
          <w:tcPr>
            <w:tcW w:w="4962" w:type="dxa"/>
            <w:tcBorders>
              <w:top w:val="single" w:sz="4" w:space="0" w:color="auto"/>
              <w:left w:val="single" w:sz="8" w:space="0" w:color="auto"/>
              <w:bottom w:val="single" w:sz="4" w:space="0" w:color="auto"/>
              <w:right w:val="single" w:sz="4" w:space="0" w:color="auto"/>
            </w:tcBorders>
            <w:shd w:val="clear" w:color="auto" w:fill="auto"/>
            <w:vAlign w:val="center"/>
          </w:tcPr>
          <w:p w14:paraId="7663643D" w14:textId="18F3344B" w:rsidR="00BF1628" w:rsidRPr="00190230" w:rsidRDefault="001B2D77" w:rsidP="006A0EC0">
            <w:pPr>
              <w:rPr>
                <w:rFonts w:ascii="Times New Roman" w:hAnsi="Times New Roman" w:cs="Times New Roman"/>
                <w:sz w:val="20"/>
                <w:szCs w:val="20"/>
                <w:lang w:val="en-US"/>
              </w:rPr>
            </w:pPr>
            <w:r w:rsidRPr="00190230">
              <w:rPr>
                <w:rFonts w:ascii="Times New Roman" w:hAnsi="Times New Roman" w:cs="Times New Roman"/>
                <w:sz w:val="20"/>
                <w:szCs w:val="20"/>
                <w:lang w:val="en-US"/>
              </w:rPr>
              <w:t>Transfer of funds in a foreign currency</w:t>
            </w:r>
          </w:p>
        </w:tc>
        <w:tc>
          <w:tcPr>
            <w:tcW w:w="5245" w:type="dxa"/>
            <w:tcBorders>
              <w:top w:val="single" w:sz="4" w:space="0" w:color="auto"/>
              <w:left w:val="nil"/>
              <w:bottom w:val="single" w:sz="4" w:space="0" w:color="auto"/>
              <w:right w:val="single" w:sz="4" w:space="0" w:color="auto"/>
            </w:tcBorders>
            <w:shd w:val="clear" w:color="auto" w:fill="auto"/>
            <w:vAlign w:val="center"/>
          </w:tcPr>
          <w:p w14:paraId="0294AE98" w14:textId="1CFAB947" w:rsidR="001B2D77" w:rsidRPr="00190230" w:rsidRDefault="001B2D77" w:rsidP="00BF1628">
            <w:pPr>
              <w:pStyle w:val="a7"/>
              <w:numPr>
                <w:ilvl w:val="0"/>
                <w:numId w:val="4"/>
              </w:numPr>
              <w:spacing w:after="0" w:line="240" w:lineRule="auto"/>
              <w:ind w:left="169" w:hanging="141"/>
              <w:rPr>
                <w:rFonts w:ascii="Times New Roman" w:hAnsi="Times New Roman" w:cs="Times New Roman"/>
                <w:sz w:val="20"/>
                <w:szCs w:val="20"/>
                <w:lang w:val="en-US"/>
              </w:rPr>
            </w:pPr>
            <w:r w:rsidRPr="00190230">
              <w:rPr>
                <w:rFonts w:ascii="Times New Roman" w:hAnsi="Times New Roman" w:cs="Times New Roman"/>
                <w:bCs/>
                <w:sz w:val="20"/>
                <w:szCs w:val="20"/>
                <w:lang w:val="en-US"/>
              </w:rPr>
              <w:t xml:space="preserve"> Before 15:00 – 0.35%, not less than 5 MCI and not more than 34 MCI </w:t>
            </w:r>
          </w:p>
          <w:p w14:paraId="2AEE49E2" w14:textId="59A28F87" w:rsidR="00BF1628" w:rsidRPr="00190230" w:rsidDel="008B72D8" w:rsidRDefault="001B2D77" w:rsidP="00BF1628">
            <w:pPr>
              <w:pStyle w:val="a7"/>
              <w:numPr>
                <w:ilvl w:val="0"/>
                <w:numId w:val="4"/>
              </w:numPr>
              <w:spacing w:after="0" w:line="240" w:lineRule="auto"/>
              <w:ind w:left="169" w:hanging="141"/>
              <w:rPr>
                <w:rFonts w:ascii="Times New Roman" w:hAnsi="Times New Roman" w:cs="Times New Roman"/>
                <w:sz w:val="20"/>
                <w:szCs w:val="20"/>
                <w:lang w:val="en-US"/>
              </w:rPr>
            </w:pPr>
            <w:r w:rsidRPr="00190230">
              <w:rPr>
                <w:rFonts w:ascii="Times New Roman" w:hAnsi="Times New Roman" w:cs="Times New Roman"/>
                <w:bCs/>
                <w:sz w:val="20"/>
                <w:szCs w:val="20"/>
                <w:lang w:val="en-US"/>
              </w:rPr>
              <w:t xml:space="preserve"> After 15:00 – 0.55%, not less than 15 MCI and not more than 40 MCI</w:t>
            </w:r>
          </w:p>
        </w:tc>
      </w:tr>
      <w:tr w:rsidR="00BF1628" w:rsidRPr="00190230" w14:paraId="2191141A" w14:textId="77777777" w:rsidTr="006A0EC0">
        <w:trPr>
          <w:trHeight w:val="1036"/>
        </w:trPr>
        <w:tc>
          <w:tcPr>
            <w:tcW w:w="4962" w:type="dxa"/>
            <w:tcBorders>
              <w:top w:val="nil"/>
              <w:left w:val="single" w:sz="8" w:space="0" w:color="auto"/>
              <w:bottom w:val="single" w:sz="4" w:space="0" w:color="auto"/>
              <w:right w:val="single" w:sz="4" w:space="0" w:color="auto"/>
            </w:tcBorders>
            <w:shd w:val="clear" w:color="auto" w:fill="auto"/>
            <w:vAlign w:val="center"/>
          </w:tcPr>
          <w:p w14:paraId="003073AB" w14:textId="77777777" w:rsidR="00BF1628" w:rsidRPr="00190230" w:rsidRDefault="00BF1628" w:rsidP="006A0EC0">
            <w:pPr>
              <w:rPr>
                <w:rFonts w:ascii="Times New Roman" w:hAnsi="Times New Roman" w:cs="Times New Roman"/>
                <w:sz w:val="20"/>
                <w:szCs w:val="20"/>
              </w:rPr>
            </w:pPr>
            <w:r w:rsidRPr="00190230">
              <w:rPr>
                <w:rFonts w:ascii="Times New Roman" w:hAnsi="Times New Roman" w:cs="Times New Roman"/>
                <w:sz w:val="20"/>
                <w:szCs w:val="20"/>
              </w:rPr>
              <w:t>Перевод денежных средств в иностранной валюте внутри своих счетов, открытых в сторонних организациях</w:t>
            </w:r>
          </w:p>
        </w:tc>
        <w:tc>
          <w:tcPr>
            <w:tcW w:w="5245" w:type="dxa"/>
            <w:tcBorders>
              <w:top w:val="nil"/>
              <w:left w:val="nil"/>
              <w:bottom w:val="single" w:sz="4" w:space="0" w:color="auto"/>
              <w:right w:val="single" w:sz="4" w:space="0" w:color="auto"/>
            </w:tcBorders>
            <w:shd w:val="clear" w:color="auto" w:fill="auto"/>
            <w:vAlign w:val="center"/>
          </w:tcPr>
          <w:p w14:paraId="5DD225C2" w14:textId="77777777" w:rsidR="00BF1628" w:rsidRPr="00190230" w:rsidRDefault="00BF1628" w:rsidP="00BF1628">
            <w:pPr>
              <w:pStyle w:val="a7"/>
              <w:numPr>
                <w:ilvl w:val="0"/>
                <w:numId w:val="4"/>
              </w:numPr>
              <w:spacing w:after="0" w:line="240" w:lineRule="auto"/>
              <w:ind w:left="169" w:hanging="141"/>
              <w:rPr>
                <w:rFonts w:ascii="Times New Roman" w:hAnsi="Times New Roman" w:cs="Times New Roman"/>
                <w:b/>
                <w:bCs/>
                <w:sz w:val="20"/>
                <w:szCs w:val="20"/>
              </w:rPr>
            </w:pPr>
            <w:r w:rsidRPr="00190230">
              <w:rPr>
                <w:rFonts w:ascii="Times New Roman" w:hAnsi="Times New Roman" w:cs="Times New Roman"/>
                <w:bCs/>
                <w:sz w:val="20"/>
                <w:szCs w:val="20"/>
              </w:rPr>
              <w:t>До 15:00 – 0,35%, не менее 5 МРП и не более 34 МРП</w:t>
            </w:r>
          </w:p>
          <w:p w14:paraId="61FF7DFC" w14:textId="77777777" w:rsidR="00BF1628" w:rsidRPr="00190230" w:rsidRDefault="00BF1628" w:rsidP="00BF1628">
            <w:pPr>
              <w:pStyle w:val="a7"/>
              <w:numPr>
                <w:ilvl w:val="0"/>
                <w:numId w:val="4"/>
              </w:numPr>
              <w:spacing w:after="0" w:line="240" w:lineRule="auto"/>
              <w:ind w:left="169" w:hanging="141"/>
              <w:rPr>
                <w:rFonts w:ascii="Times New Roman" w:hAnsi="Times New Roman" w:cs="Times New Roman"/>
                <w:b/>
                <w:bCs/>
                <w:sz w:val="20"/>
                <w:szCs w:val="20"/>
              </w:rPr>
            </w:pPr>
            <w:r w:rsidRPr="00190230">
              <w:rPr>
                <w:rFonts w:ascii="Times New Roman" w:hAnsi="Times New Roman" w:cs="Times New Roman"/>
                <w:bCs/>
                <w:sz w:val="20"/>
                <w:szCs w:val="20"/>
              </w:rPr>
              <w:t>После 15:00 – 0,55%, не менее 15 МРП и не более 40 МРП</w:t>
            </w:r>
          </w:p>
        </w:tc>
      </w:tr>
      <w:tr w:rsidR="00BF1628" w:rsidRPr="00190230" w14:paraId="0E2608A5" w14:textId="77777777" w:rsidTr="006A0EC0">
        <w:trPr>
          <w:trHeight w:val="1036"/>
        </w:trPr>
        <w:tc>
          <w:tcPr>
            <w:tcW w:w="4962" w:type="dxa"/>
            <w:tcBorders>
              <w:top w:val="nil"/>
              <w:left w:val="single" w:sz="8" w:space="0" w:color="auto"/>
              <w:bottom w:val="single" w:sz="4" w:space="0" w:color="auto"/>
              <w:right w:val="single" w:sz="4" w:space="0" w:color="auto"/>
            </w:tcBorders>
            <w:shd w:val="clear" w:color="auto" w:fill="auto"/>
            <w:vAlign w:val="center"/>
            <w:hideMark/>
          </w:tcPr>
          <w:p w14:paraId="55BCDDF8" w14:textId="053697DE" w:rsidR="00BF1628" w:rsidRPr="00190230" w:rsidRDefault="003D3078" w:rsidP="006A0EC0">
            <w:pPr>
              <w:rPr>
                <w:rFonts w:ascii="Times New Roman" w:hAnsi="Times New Roman" w:cs="Times New Roman"/>
                <w:sz w:val="20"/>
                <w:szCs w:val="20"/>
                <w:lang w:val="en-US"/>
              </w:rPr>
            </w:pPr>
            <w:r w:rsidRPr="00190230">
              <w:rPr>
                <w:rFonts w:ascii="Times New Roman" w:hAnsi="Times New Roman" w:cs="Times New Roman"/>
                <w:sz w:val="20"/>
                <w:szCs w:val="20"/>
                <w:lang w:val="en-US"/>
              </w:rPr>
              <w:t>Provision of regular reports - once a month (personal account statement as of the end of the month, personal account history report for the reporting month and other reports in accordance with the legislation of the Republic of Kazakhstan)</w:t>
            </w:r>
          </w:p>
        </w:tc>
        <w:tc>
          <w:tcPr>
            <w:tcW w:w="5245" w:type="dxa"/>
            <w:tcBorders>
              <w:top w:val="nil"/>
              <w:left w:val="nil"/>
              <w:bottom w:val="single" w:sz="4" w:space="0" w:color="auto"/>
              <w:right w:val="single" w:sz="4" w:space="0" w:color="auto"/>
            </w:tcBorders>
            <w:shd w:val="clear" w:color="auto" w:fill="auto"/>
            <w:vAlign w:val="center"/>
            <w:hideMark/>
          </w:tcPr>
          <w:p w14:paraId="499C5998" w14:textId="793774AE" w:rsidR="00BF1628" w:rsidRPr="00190230" w:rsidRDefault="003D3078" w:rsidP="006A0EC0">
            <w:pPr>
              <w:rPr>
                <w:rFonts w:ascii="Times New Roman" w:hAnsi="Times New Roman" w:cs="Times New Roman"/>
                <w:sz w:val="20"/>
                <w:szCs w:val="20"/>
                <w:lang w:val="en-US"/>
              </w:rPr>
            </w:pPr>
            <w:r w:rsidRPr="00190230">
              <w:rPr>
                <w:rFonts w:ascii="Times New Roman" w:hAnsi="Times New Roman" w:cs="Times New Roman"/>
                <w:sz w:val="20"/>
                <w:szCs w:val="20"/>
                <w:lang w:val="en-US"/>
              </w:rPr>
              <w:t>Free</w:t>
            </w:r>
          </w:p>
        </w:tc>
      </w:tr>
      <w:tr w:rsidR="00BF1628" w:rsidRPr="00027DF8" w14:paraId="7971742D" w14:textId="77777777" w:rsidTr="006A0EC0">
        <w:trPr>
          <w:trHeight w:val="793"/>
        </w:trPr>
        <w:tc>
          <w:tcPr>
            <w:tcW w:w="4962" w:type="dxa"/>
            <w:tcBorders>
              <w:top w:val="nil"/>
              <w:left w:val="single" w:sz="8" w:space="0" w:color="auto"/>
              <w:bottom w:val="single" w:sz="4" w:space="0" w:color="auto"/>
              <w:right w:val="single" w:sz="4" w:space="0" w:color="auto"/>
            </w:tcBorders>
            <w:shd w:val="clear" w:color="auto" w:fill="auto"/>
            <w:vAlign w:val="center"/>
            <w:hideMark/>
          </w:tcPr>
          <w:p w14:paraId="64264F0C" w14:textId="3356203F" w:rsidR="00BF1628" w:rsidRPr="00190230" w:rsidRDefault="007507DE" w:rsidP="006A0EC0">
            <w:pPr>
              <w:rPr>
                <w:rFonts w:ascii="Times New Roman" w:hAnsi="Times New Roman" w:cs="Times New Roman"/>
                <w:sz w:val="20"/>
                <w:szCs w:val="20"/>
                <w:lang w:val="en-US"/>
              </w:rPr>
            </w:pPr>
            <w:r w:rsidRPr="00190230">
              <w:rPr>
                <w:rFonts w:ascii="Times New Roman" w:hAnsi="Times New Roman" w:cs="Times New Roman"/>
                <w:sz w:val="20"/>
                <w:szCs w:val="20"/>
                <w:lang w:val="en-US"/>
              </w:rPr>
              <w:t>Conversion of a financial instrument (conversion from a depository receipt to shares, from shares to depository receipts)</w:t>
            </w:r>
          </w:p>
        </w:tc>
        <w:tc>
          <w:tcPr>
            <w:tcW w:w="5245" w:type="dxa"/>
            <w:tcBorders>
              <w:top w:val="nil"/>
              <w:left w:val="nil"/>
              <w:bottom w:val="single" w:sz="4" w:space="0" w:color="auto"/>
              <w:right w:val="single" w:sz="4" w:space="0" w:color="auto"/>
            </w:tcBorders>
            <w:shd w:val="clear" w:color="auto" w:fill="auto"/>
            <w:vAlign w:val="center"/>
            <w:hideMark/>
          </w:tcPr>
          <w:p w14:paraId="2CB3668A" w14:textId="4F57E780" w:rsidR="00BF1628" w:rsidRPr="00190230" w:rsidRDefault="00637E62" w:rsidP="006A0EC0">
            <w:pPr>
              <w:rPr>
                <w:rFonts w:ascii="Times New Roman" w:hAnsi="Times New Roman" w:cs="Times New Roman"/>
                <w:sz w:val="20"/>
                <w:szCs w:val="20"/>
                <w:lang w:val="en-US"/>
              </w:rPr>
            </w:pPr>
            <w:r w:rsidRPr="00190230">
              <w:rPr>
                <w:rFonts w:ascii="Times New Roman" w:hAnsi="Times New Roman" w:cs="Times New Roman"/>
                <w:sz w:val="20"/>
                <w:szCs w:val="20"/>
                <w:lang w:val="en-US"/>
              </w:rPr>
              <w:t>1.5 tenge per 1 depositary receipt, at least 8 MCI + commission in accordance with the issuer's Depository Agreement</w:t>
            </w:r>
          </w:p>
        </w:tc>
      </w:tr>
      <w:tr w:rsidR="00BF1628" w:rsidRPr="00027DF8" w14:paraId="6B5C45E2" w14:textId="77777777" w:rsidTr="006A0EC0">
        <w:trPr>
          <w:trHeight w:val="421"/>
        </w:trPr>
        <w:tc>
          <w:tcPr>
            <w:tcW w:w="4962" w:type="dxa"/>
            <w:tcBorders>
              <w:top w:val="nil"/>
              <w:left w:val="single" w:sz="8" w:space="0" w:color="auto"/>
              <w:bottom w:val="single" w:sz="4" w:space="0" w:color="auto"/>
              <w:right w:val="single" w:sz="4" w:space="0" w:color="auto"/>
            </w:tcBorders>
            <w:shd w:val="clear" w:color="auto" w:fill="auto"/>
            <w:vAlign w:val="center"/>
            <w:hideMark/>
          </w:tcPr>
          <w:p w14:paraId="1082DD75" w14:textId="1341E08A" w:rsidR="00BF1628" w:rsidRPr="00190230" w:rsidRDefault="005B2BC3" w:rsidP="006A0EC0">
            <w:pPr>
              <w:rPr>
                <w:rFonts w:ascii="Times New Roman" w:hAnsi="Times New Roman" w:cs="Times New Roman"/>
                <w:sz w:val="20"/>
                <w:szCs w:val="20"/>
              </w:rPr>
            </w:pPr>
            <w:proofErr w:type="spellStart"/>
            <w:r w:rsidRPr="00190230">
              <w:rPr>
                <w:rFonts w:ascii="Times New Roman" w:hAnsi="Times New Roman" w:cs="Times New Roman"/>
                <w:sz w:val="20"/>
                <w:szCs w:val="20"/>
              </w:rPr>
              <w:t>Registration</w:t>
            </w:r>
            <w:proofErr w:type="spellEnd"/>
            <w:r w:rsidRPr="00190230">
              <w:rPr>
                <w:rFonts w:ascii="Times New Roman" w:hAnsi="Times New Roman" w:cs="Times New Roman"/>
                <w:sz w:val="20"/>
                <w:szCs w:val="20"/>
              </w:rPr>
              <w:t xml:space="preserve"> </w:t>
            </w:r>
            <w:proofErr w:type="spellStart"/>
            <w:r w:rsidRPr="00190230">
              <w:rPr>
                <w:rFonts w:ascii="Times New Roman" w:hAnsi="Times New Roman" w:cs="Times New Roman"/>
                <w:sz w:val="20"/>
                <w:szCs w:val="20"/>
              </w:rPr>
              <w:t>of</w:t>
            </w:r>
            <w:proofErr w:type="spellEnd"/>
            <w:r w:rsidRPr="00190230">
              <w:rPr>
                <w:rFonts w:ascii="Times New Roman" w:hAnsi="Times New Roman" w:cs="Times New Roman"/>
                <w:sz w:val="20"/>
                <w:szCs w:val="20"/>
              </w:rPr>
              <w:t xml:space="preserve"> </w:t>
            </w:r>
            <w:proofErr w:type="spellStart"/>
            <w:r w:rsidRPr="00190230">
              <w:rPr>
                <w:rFonts w:ascii="Times New Roman" w:hAnsi="Times New Roman" w:cs="Times New Roman"/>
                <w:sz w:val="20"/>
                <w:szCs w:val="20"/>
              </w:rPr>
              <w:t>encumbrances</w:t>
            </w:r>
            <w:proofErr w:type="spellEnd"/>
            <w:r w:rsidRPr="00190230">
              <w:rPr>
                <w:rFonts w:ascii="Times New Roman" w:hAnsi="Times New Roman" w:cs="Times New Roman"/>
                <w:sz w:val="20"/>
                <w:szCs w:val="20"/>
              </w:rPr>
              <w:t>/</w:t>
            </w:r>
            <w:proofErr w:type="spellStart"/>
            <w:r w:rsidRPr="00190230">
              <w:rPr>
                <w:rFonts w:ascii="Times New Roman" w:hAnsi="Times New Roman" w:cs="Times New Roman"/>
                <w:sz w:val="20"/>
                <w:szCs w:val="20"/>
              </w:rPr>
              <w:t>collateral</w:t>
            </w:r>
            <w:proofErr w:type="spellEnd"/>
          </w:p>
        </w:tc>
        <w:tc>
          <w:tcPr>
            <w:tcW w:w="5245" w:type="dxa"/>
            <w:tcBorders>
              <w:top w:val="nil"/>
              <w:left w:val="nil"/>
              <w:bottom w:val="single" w:sz="4" w:space="0" w:color="auto"/>
              <w:right w:val="single" w:sz="4" w:space="0" w:color="auto"/>
            </w:tcBorders>
            <w:shd w:val="clear" w:color="auto" w:fill="auto"/>
            <w:vAlign w:val="center"/>
            <w:hideMark/>
          </w:tcPr>
          <w:p w14:paraId="077695C4" w14:textId="27908293" w:rsidR="00BF1628" w:rsidRPr="00190230" w:rsidRDefault="009755BD" w:rsidP="006A0EC0">
            <w:pPr>
              <w:rPr>
                <w:rFonts w:ascii="Times New Roman" w:hAnsi="Times New Roman" w:cs="Times New Roman"/>
                <w:sz w:val="20"/>
                <w:szCs w:val="20"/>
                <w:lang w:val="en-US"/>
              </w:rPr>
            </w:pPr>
            <w:r w:rsidRPr="00190230">
              <w:rPr>
                <w:rFonts w:ascii="Times New Roman" w:hAnsi="Times New Roman" w:cs="Times New Roman"/>
                <w:sz w:val="20"/>
                <w:szCs w:val="20"/>
                <w:lang w:val="en-US"/>
              </w:rPr>
              <w:t>0.2% of the transaction amount, at least 5 MCI</w:t>
            </w:r>
          </w:p>
        </w:tc>
      </w:tr>
      <w:tr w:rsidR="00BF1628" w:rsidRPr="00027DF8" w14:paraId="59372F24" w14:textId="77777777" w:rsidTr="006A0EC0">
        <w:trPr>
          <w:trHeight w:val="602"/>
        </w:trPr>
        <w:tc>
          <w:tcPr>
            <w:tcW w:w="4962" w:type="dxa"/>
            <w:tcBorders>
              <w:top w:val="nil"/>
              <w:left w:val="single" w:sz="8" w:space="0" w:color="auto"/>
              <w:bottom w:val="single" w:sz="4" w:space="0" w:color="auto"/>
              <w:right w:val="single" w:sz="4" w:space="0" w:color="auto"/>
            </w:tcBorders>
            <w:shd w:val="clear" w:color="auto" w:fill="auto"/>
            <w:vAlign w:val="center"/>
            <w:hideMark/>
          </w:tcPr>
          <w:p w14:paraId="4DF1EC75" w14:textId="366B65CC" w:rsidR="00BF1628" w:rsidRPr="00190230" w:rsidRDefault="00325515" w:rsidP="006A0EC0">
            <w:pPr>
              <w:rPr>
                <w:rFonts w:ascii="Times New Roman" w:hAnsi="Times New Roman" w:cs="Times New Roman"/>
                <w:sz w:val="20"/>
                <w:szCs w:val="20"/>
                <w:lang w:val="en-US"/>
              </w:rPr>
            </w:pPr>
            <w:r w:rsidRPr="00190230">
              <w:rPr>
                <w:rFonts w:ascii="Times New Roman" w:hAnsi="Times New Roman" w:cs="Times New Roman"/>
                <w:sz w:val="20"/>
                <w:szCs w:val="20"/>
                <w:lang w:val="en-US"/>
              </w:rPr>
              <w:t>Dematerialization of a financial instrument</w:t>
            </w:r>
          </w:p>
        </w:tc>
        <w:tc>
          <w:tcPr>
            <w:tcW w:w="5245" w:type="dxa"/>
            <w:tcBorders>
              <w:top w:val="nil"/>
              <w:left w:val="nil"/>
              <w:bottom w:val="single" w:sz="4" w:space="0" w:color="auto"/>
              <w:right w:val="single" w:sz="4" w:space="0" w:color="auto"/>
            </w:tcBorders>
            <w:shd w:val="clear" w:color="auto" w:fill="auto"/>
            <w:vAlign w:val="center"/>
            <w:hideMark/>
          </w:tcPr>
          <w:p w14:paraId="550919FF" w14:textId="77525899" w:rsidR="00BF1628" w:rsidRPr="00190230" w:rsidRDefault="00325515" w:rsidP="006A0EC0">
            <w:pPr>
              <w:rPr>
                <w:rFonts w:ascii="Times New Roman" w:hAnsi="Times New Roman" w:cs="Times New Roman"/>
                <w:sz w:val="20"/>
                <w:szCs w:val="20"/>
                <w:lang w:val="en-US"/>
              </w:rPr>
            </w:pPr>
            <w:r w:rsidRPr="00190230">
              <w:rPr>
                <w:rFonts w:ascii="Times New Roman" w:hAnsi="Times New Roman" w:cs="Times New Roman"/>
                <w:sz w:val="20"/>
                <w:szCs w:val="20"/>
                <w:lang w:val="en-US"/>
              </w:rPr>
              <w:t>0.02% of the market value of the financial instrument, at least 15 MCI</w:t>
            </w:r>
          </w:p>
        </w:tc>
      </w:tr>
      <w:tr w:rsidR="00BF1628" w:rsidRPr="00190230" w14:paraId="6E8AB123" w14:textId="77777777" w:rsidTr="006A0EC0">
        <w:trPr>
          <w:trHeight w:val="627"/>
        </w:trPr>
        <w:tc>
          <w:tcPr>
            <w:tcW w:w="4962" w:type="dxa"/>
            <w:tcBorders>
              <w:top w:val="nil"/>
              <w:left w:val="single" w:sz="8" w:space="0" w:color="auto"/>
              <w:bottom w:val="single" w:sz="4" w:space="0" w:color="auto"/>
              <w:right w:val="single" w:sz="4" w:space="0" w:color="auto"/>
            </w:tcBorders>
            <w:shd w:val="clear" w:color="auto" w:fill="auto"/>
            <w:vAlign w:val="center"/>
            <w:hideMark/>
          </w:tcPr>
          <w:p w14:paraId="35185A4F" w14:textId="6461829E" w:rsidR="00BF1628" w:rsidRPr="00190230" w:rsidRDefault="005F089B" w:rsidP="006A0EC0">
            <w:pPr>
              <w:rPr>
                <w:rFonts w:ascii="Times New Roman" w:hAnsi="Times New Roman" w:cs="Times New Roman"/>
                <w:sz w:val="20"/>
                <w:szCs w:val="20"/>
                <w:lang w:val="en-US"/>
              </w:rPr>
            </w:pPr>
            <w:r w:rsidRPr="00190230">
              <w:rPr>
                <w:rFonts w:ascii="Times New Roman" w:hAnsi="Times New Roman" w:cs="Times New Roman"/>
                <w:sz w:val="20"/>
                <w:szCs w:val="20"/>
                <w:lang w:val="en-US"/>
              </w:rPr>
              <w:t>Proxy voting on corporate actions</w:t>
            </w:r>
          </w:p>
        </w:tc>
        <w:tc>
          <w:tcPr>
            <w:tcW w:w="5245" w:type="dxa"/>
            <w:tcBorders>
              <w:top w:val="nil"/>
              <w:left w:val="nil"/>
              <w:bottom w:val="single" w:sz="4" w:space="0" w:color="auto"/>
              <w:right w:val="single" w:sz="4" w:space="0" w:color="auto"/>
            </w:tcBorders>
            <w:shd w:val="clear" w:color="auto" w:fill="auto"/>
            <w:vAlign w:val="center"/>
            <w:hideMark/>
          </w:tcPr>
          <w:p w14:paraId="024D6790" w14:textId="151F740E" w:rsidR="00BF1628" w:rsidRPr="00190230" w:rsidRDefault="005F089B" w:rsidP="006A0EC0">
            <w:pPr>
              <w:rPr>
                <w:rFonts w:ascii="Times New Roman" w:hAnsi="Times New Roman" w:cs="Times New Roman"/>
                <w:sz w:val="20"/>
                <w:szCs w:val="20"/>
              </w:rPr>
            </w:pPr>
            <w:r w:rsidRPr="00190230">
              <w:rPr>
                <w:rFonts w:ascii="Times New Roman" w:hAnsi="Times New Roman" w:cs="Times New Roman"/>
                <w:sz w:val="20"/>
                <w:szCs w:val="20"/>
                <w:lang w:val="en-US"/>
              </w:rPr>
              <w:t>5 MCI</w:t>
            </w:r>
          </w:p>
        </w:tc>
      </w:tr>
      <w:tr w:rsidR="00BF1628" w:rsidRPr="00190230" w14:paraId="69F4FD40" w14:textId="77777777" w:rsidTr="006A0EC0">
        <w:trPr>
          <w:trHeight w:val="627"/>
        </w:trPr>
        <w:tc>
          <w:tcPr>
            <w:tcW w:w="4962" w:type="dxa"/>
            <w:tcBorders>
              <w:top w:val="nil"/>
              <w:left w:val="single" w:sz="8" w:space="0" w:color="auto"/>
              <w:bottom w:val="single" w:sz="4" w:space="0" w:color="auto"/>
              <w:right w:val="single" w:sz="4" w:space="0" w:color="auto"/>
            </w:tcBorders>
            <w:shd w:val="clear" w:color="auto" w:fill="auto"/>
            <w:vAlign w:val="center"/>
          </w:tcPr>
          <w:p w14:paraId="59BA83E7" w14:textId="00D79771" w:rsidR="00BF1628" w:rsidRPr="00190230" w:rsidRDefault="0072317D" w:rsidP="006A0EC0">
            <w:pPr>
              <w:rPr>
                <w:rFonts w:ascii="Times New Roman" w:hAnsi="Times New Roman" w:cs="Times New Roman"/>
                <w:sz w:val="20"/>
                <w:szCs w:val="20"/>
                <w:lang w:val="en-US"/>
              </w:rPr>
            </w:pPr>
            <w:r w:rsidRPr="00190230">
              <w:rPr>
                <w:rFonts w:ascii="Times New Roman" w:hAnsi="Times New Roman" w:cs="Times New Roman"/>
                <w:sz w:val="20"/>
                <w:szCs w:val="20"/>
                <w:lang w:val="en-US"/>
              </w:rPr>
              <w:t>Securities storage in Central Securities Depository JSC / AIX CSD - from the volume of assets</w:t>
            </w:r>
          </w:p>
        </w:tc>
        <w:tc>
          <w:tcPr>
            <w:tcW w:w="5245" w:type="dxa"/>
            <w:tcBorders>
              <w:top w:val="nil"/>
              <w:left w:val="nil"/>
              <w:bottom w:val="single" w:sz="4" w:space="0" w:color="auto"/>
              <w:right w:val="single" w:sz="4" w:space="0" w:color="auto"/>
            </w:tcBorders>
            <w:shd w:val="clear" w:color="auto" w:fill="auto"/>
            <w:vAlign w:val="center"/>
          </w:tcPr>
          <w:p w14:paraId="63630CF5" w14:textId="0592CA2C" w:rsidR="00BF1628" w:rsidRPr="00190230" w:rsidRDefault="0072317D" w:rsidP="006A0EC0">
            <w:pPr>
              <w:rPr>
                <w:rFonts w:ascii="Times New Roman" w:hAnsi="Times New Roman" w:cs="Times New Roman"/>
                <w:sz w:val="20"/>
                <w:szCs w:val="20"/>
              </w:rPr>
            </w:pPr>
            <w:r w:rsidRPr="00190230">
              <w:rPr>
                <w:rFonts w:ascii="Times New Roman" w:hAnsi="Times New Roman" w:cs="Times New Roman"/>
                <w:sz w:val="20"/>
                <w:szCs w:val="20"/>
              </w:rPr>
              <w:t xml:space="preserve">0.06% </w:t>
            </w:r>
            <w:proofErr w:type="spellStart"/>
            <w:r w:rsidRPr="00190230">
              <w:rPr>
                <w:rFonts w:ascii="Times New Roman" w:hAnsi="Times New Roman" w:cs="Times New Roman"/>
                <w:sz w:val="20"/>
                <w:szCs w:val="20"/>
              </w:rPr>
              <w:t>per</w:t>
            </w:r>
            <w:proofErr w:type="spellEnd"/>
            <w:r w:rsidRPr="00190230">
              <w:rPr>
                <w:rFonts w:ascii="Times New Roman" w:hAnsi="Times New Roman" w:cs="Times New Roman"/>
                <w:sz w:val="20"/>
                <w:szCs w:val="20"/>
              </w:rPr>
              <w:t xml:space="preserve"> </w:t>
            </w:r>
            <w:proofErr w:type="spellStart"/>
            <w:r w:rsidRPr="00190230">
              <w:rPr>
                <w:rFonts w:ascii="Times New Roman" w:hAnsi="Times New Roman" w:cs="Times New Roman"/>
                <w:sz w:val="20"/>
                <w:szCs w:val="20"/>
              </w:rPr>
              <w:t>annum</w:t>
            </w:r>
            <w:proofErr w:type="spellEnd"/>
          </w:p>
        </w:tc>
      </w:tr>
      <w:tr w:rsidR="00BF1628" w:rsidRPr="00190230" w14:paraId="694F3839" w14:textId="77777777" w:rsidTr="006A0EC0">
        <w:trPr>
          <w:trHeight w:val="411"/>
        </w:trPr>
        <w:tc>
          <w:tcPr>
            <w:tcW w:w="4962" w:type="dxa"/>
            <w:tcBorders>
              <w:top w:val="nil"/>
              <w:left w:val="single" w:sz="8" w:space="0" w:color="auto"/>
              <w:bottom w:val="single" w:sz="4" w:space="0" w:color="auto"/>
              <w:right w:val="single" w:sz="4" w:space="0" w:color="auto"/>
            </w:tcBorders>
            <w:shd w:val="clear" w:color="auto" w:fill="auto"/>
            <w:vAlign w:val="center"/>
          </w:tcPr>
          <w:p w14:paraId="76A46FD1" w14:textId="1090258B" w:rsidR="00BF1628" w:rsidRPr="00190230" w:rsidRDefault="00FE23CA" w:rsidP="006A0EC0">
            <w:pPr>
              <w:rPr>
                <w:rFonts w:ascii="Times New Roman" w:hAnsi="Times New Roman" w:cs="Times New Roman"/>
                <w:sz w:val="20"/>
                <w:szCs w:val="20"/>
                <w:lang w:val="en-US"/>
              </w:rPr>
            </w:pPr>
            <w:r w:rsidRPr="00190230">
              <w:rPr>
                <w:rFonts w:ascii="Times New Roman" w:hAnsi="Times New Roman" w:cs="Times New Roman"/>
                <w:sz w:val="20"/>
                <w:szCs w:val="20"/>
                <w:lang w:val="en-US"/>
              </w:rPr>
              <w:t>Custody of securities in custodian banks - based on the volume of assets</w:t>
            </w:r>
          </w:p>
        </w:tc>
        <w:tc>
          <w:tcPr>
            <w:tcW w:w="5245" w:type="dxa"/>
            <w:tcBorders>
              <w:top w:val="nil"/>
              <w:left w:val="nil"/>
              <w:bottom w:val="single" w:sz="4" w:space="0" w:color="auto"/>
              <w:right w:val="single" w:sz="4" w:space="0" w:color="auto"/>
            </w:tcBorders>
            <w:shd w:val="clear" w:color="auto" w:fill="auto"/>
            <w:vAlign w:val="center"/>
          </w:tcPr>
          <w:p w14:paraId="1D629086" w14:textId="14761A58" w:rsidR="00BF1628" w:rsidRPr="00190230" w:rsidRDefault="00BF1628" w:rsidP="006A0EC0">
            <w:pPr>
              <w:rPr>
                <w:rFonts w:ascii="Times New Roman" w:hAnsi="Times New Roman" w:cs="Times New Roman"/>
                <w:sz w:val="20"/>
                <w:szCs w:val="20"/>
              </w:rPr>
            </w:pPr>
            <w:r w:rsidRPr="00190230">
              <w:rPr>
                <w:rFonts w:ascii="Times New Roman" w:hAnsi="Times New Roman" w:cs="Times New Roman"/>
                <w:sz w:val="20"/>
                <w:szCs w:val="20"/>
              </w:rPr>
              <w:t>0</w:t>
            </w:r>
            <w:r w:rsidR="00FE23CA" w:rsidRPr="00190230">
              <w:rPr>
                <w:rFonts w:ascii="Times New Roman" w:hAnsi="Times New Roman" w:cs="Times New Roman"/>
                <w:sz w:val="20"/>
                <w:szCs w:val="20"/>
                <w:lang w:val="en-US"/>
              </w:rPr>
              <w:t>.</w:t>
            </w:r>
            <w:r w:rsidRPr="00190230">
              <w:rPr>
                <w:rFonts w:ascii="Times New Roman" w:hAnsi="Times New Roman" w:cs="Times New Roman"/>
                <w:sz w:val="20"/>
                <w:szCs w:val="20"/>
              </w:rPr>
              <w:t xml:space="preserve">3% </w:t>
            </w:r>
            <w:proofErr w:type="spellStart"/>
            <w:r w:rsidR="00FE23CA" w:rsidRPr="00190230">
              <w:rPr>
                <w:rFonts w:ascii="Times New Roman" w:hAnsi="Times New Roman" w:cs="Times New Roman"/>
                <w:sz w:val="20"/>
                <w:szCs w:val="20"/>
              </w:rPr>
              <w:t>per</w:t>
            </w:r>
            <w:proofErr w:type="spellEnd"/>
            <w:r w:rsidR="00FE23CA" w:rsidRPr="00190230">
              <w:rPr>
                <w:rFonts w:ascii="Times New Roman" w:hAnsi="Times New Roman" w:cs="Times New Roman"/>
                <w:sz w:val="20"/>
                <w:szCs w:val="20"/>
              </w:rPr>
              <w:t xml:space="preserve"> </w:t>
            </w:r>
            <w:proofErr w:type="spellStart"/>
            <w:r w:rsidR="00FE23CA" w:rsidRPr="00190230">
              <w:rPr>
                <w:rFonts w:ascii="Times New Roman" w:hAnsi="Times New Roman" w:cs="Times New Roman"/>
                <w:sz w:val="20"/>
                <w:szCs w:val="20"/>
              </w:rPr>
              <w:t>annum</w:t>
            </w:r>
            <w:proofErr w:type="spellEnd"/>
          </w:p>
        </w:tc>
      </w:tr>
      <w:tr w:rsidR="00BF1628" w:rsidRPr="00190230" w14:paraId="7C260B29" w14:textId="77777777" w:rsidTr="006A0EC0">
        <w:trPr>
          <w:trHeight w:val="411"/>
        </w:trPr>
        <w:tc>
          <w:tcPr>
            <w:tcW w:w="4962" w:type="dxa"/>
            <w:tcBorders>
              <w:top w:val="nil"/>
              <w:left w:val="single" w:sz="8" w:space="0" w:color="auto"/>
              <w:bottom w:val="single" w:sz="4" w:space="0" w:color="auto"/>
              <w:right w:val="single" w:sz="4" w:space="0" w:color="auto"/>
            </w:tcBorders>
            <w:shd w:val="clear" w:color="auto" w:fill="auto"/>
            <w:vAlign w:val="center"/>
          </w:tcPr>
          <w:p w14:paraId="1F2CD0DB" w14:textId="2811EB7E" w:rsidR="00BF1628" w:rsidRPr="00190230" w:rsidRDefault="00FE23CA" w:rsidP="006A0EC0">
            <w:pPr>
              <w:rPr>
                <w:rFonts w:ascii="Times New Roman" w:hAnsi="Times New Roman" w:cs="Times New Roman"/>
                <w:sz w:val="20"/>
                <w:szCs w:val="20"/>
                <w:lang w:val="en-US"/>
              </w:rPr>
            </w:pPr>
            <w:r w:rsidRPr="00190230">
              <w:rPr>
                <w:rFonts w:ascii="Times New Roman" w:hAnsi="Times New Roman" w:cs="Times New Roman"/>
                <w:sz w:val="20"/>
                <w:szCs w:val="20"/>
                <w:lang w:val="en-US"/>
              </w:rPr>
              <w:t>Storage of securities in foreign custodians – based on the volume of assets</w:t>
            </w:r>
          </w:p>
        </w:tc>
        <w:tc>
          <w:tcPr>
            <w:tcW w:w="5245" w:type="dxa"/>
            <w:tcBorders>
              <w:top w:val="nil"/>
              <w:left w:val="nil"/>
              <w:bottom w:val="single" w:sz="4" w:space="0" w:color="auto"/>
              <w:right w:val="single" w:sz="4" w:space="0" w:color="auto"/>
            </w:tcBorders>
            <w:shd w:val="clear" w:color="auto" w:fill="auto"/>
            <w:vAlign w:val="center"/>
          </w:tcPr>
          <w:p w14:paraId="1555157D" w14:textId="7756D7B7" w:rsidR="00BF1628" w:rsidRPr="00190230" w:rsidRDefault="00BF1628" w:rsidP="006A0EC0">
            <w:pPr>
              <w:rPr>
                <w:rFonts w:ascii="Times New Roman" w:hAnsi="Times New Roman" w:cs="Times New Roman"/>
                <w:sz w:val="20"/>
                <w:szCs w:val="20"/>
              </w:rPr>
            </w:pPr>
            <w:r w:rsidRPr="00190230">
              <w:rPr>
                <w:rFonts w:ascii="Times New Roman" w:hAnsi="Times New Roman" w:cs="Times New Roman"/>
                <w:sz w:val="20"/>
                <w:szCs w:val="20"/>
              </w:rPr>
              <w:t>0</w:t>
            </w:r>
            <w:r w:rsidR="00FE23CA" w:rsidRPr="00190230">
              <w:rPr>
                <w:rFonts w:ascii="Times New Roman" w:hAnsi="Times New Roman" w:cs="Times New Roman"/>
                <w:sz w:val="20"/>
                <w:szCs w:val="20"/>
                <w:lang w:val="en-US"/>
              </w:rPr>
              <w:t>.</w:t>
            </w:r>
            <w:r w:rsidRPr="00190230">
              <w:rPr>
                <w:rFonts w:ascii="Times New Roman" w:hAnsi="Times New Roman" w:cs="Times New Roman"/>
                <w:sz w:val="20"/>
                <w:szCs w:val="20"/>
              </w:rPr>
              <w:t xml:space="preserve">2% </w:t>
            </w:r>
            <w:proofErr w:type="spellStart"/>
            <w:r w:rsidR="00FE23CA" w:rsidRPr="00190230">
              <w:rPr>
                <w:rFonts w:ascii="Times New Roman" w:hAnsi="Times New Roman" w:cs="Times New Roman"/>
                <w:sz w:val="20"/>
                <w:szCs w:val="20"/>
              </w:rPr>
              <w:t>per</w:t>
            </w:r>
            <w:proofErr w:type="spellEnd"/>
            <w:r w:rsidR="00FE23CA" w:rsidRPr="00190230">
              <w:rPr>
                <w:rFonts w:ascii="Times New Roman" w:hAnsi="Times New Roman" w:cs="Times New Roman"/>
                <w:sz w:val="20"/>
                <w:szCs w:val="20"/>
              </w:rPr>
              <w:t xml:space="preserve"> </w:t>
            </w:r>
            <w:proofErr w:type="spellStart"/>
            <w:r w:rsidR="00FE23CA" w:rsidRPr="00190230">
              <w:rPr>
                <w:rFonts w:ascii="Times New Roman" w:hAnsi="Times New Roman" w:cs="Times New Roman"/>
                <w:sz w:val="20"/>
                <w:szCs w:val="20"/>
              </w:rPr>
              <w:t>annum</w:t>
            </w:r>
            <w:proofErr w:type="spellEnd"/>
          </w:p>
        </w:tc>
      </w:tr>
      <w:tr w:rsidR="00BF1628" w:rsidRPr="00190230" w14:paraId="0F7A8E12" w14:textId="77777777" w:rsidTr="006A0EC0">
        <w:trPr>
          <w:trHeight w:val="423"/>
        </w:trPr>
        <w:tc>
          <w:tcPr>
            <w:tcW w:w="10207" w:type="dxa"/>
            <w:gridSpan w:val="2"/>
            <w:tcBorders>
              <w:top w:val="nil"/>
              <w:left w:val="single" w:sz="8" w:space="0" w:color="auto"/>
              <w:bottom w:val="single" w:sz="4" w:space="0" w:color="auto"/>
              <w:right w:val="single" w:sz="4" w:space="0" w:color="auto"/>
            </w:tcBorders>
            <w:shd w:val="clear" w:color="auto" w:fill="0070C0"/>
            <w:vAlign w:val="center"/>
          </w:tcPr>
          <w:p w14:paraId="5A873148" w14:textId="7F9C1588" w:rsidR="00BF1628" w:rsidRPr="00190230" w:rsidRDefault="009E53D0" w:rsidP="006A0EC0">
            <w:pPr>
              <w:jc w:val="center"/>
              <w:rPr>
                <w:rFonts w:ascii="Times New Roman" w:hAnsi="Times New Roman" w:cs="Times New Roman"/>
                <w:sz w:val="20"/>
                <w:szCs w:val="20"/>
                <w:lang w:val="en-US"/>
              </w:rPr>
            </w:pPr>
            <w:proofErr w:type="spellStart"/>
            <w:r w:rsidRPr="00190230">
              <w:rPr>
                <w:rFonts w:ascii="Times New Roman" w:hAnsi="Times New Roman" w:cs="Times New Roman"/>
                <w:b/>
                <w:color w:val="FFFFFF"/>
                <w:sz w:val="20"/>
                <w:szCs w:val="20"/>
              </w:rPr>
              <w:t>Brokerage</w:t>
            </w:r>
            <w:proofErr w:type="spellEnd"/>
            <w:r w:rsidRPr="00190230">
              <w:rPr>
                <w:rFonts w:ascii="Times New Roman" w:hAnsi="Times New Roman" w:cs="Times New Roman"/>
                <w:b/>
                <w:color w:val="FFFFFF"/>
                <w:sz w:val="20"/>
                <w:szCs w:val="20"/>
              </w:rPr>
              <w:t xml:space="preserve"> </w:t>
            </w:r>
            <w:proofErr w:type="spellStart"/>
            <w:r w:rsidRPr="00190230">
              <w:rPr>
                <w:rFonts w:ascii="Times New Roman" w:hAnsi="Times New Roman" w:cs="Times New Roman"/>
                <w:b/>
                <w:color w:val="FFFFFF"/>
                <w:sz w:val="20"/>
                <w:szCs w:val="20"/>
              </w:rPr>
              <w:t>servic</w:t>
            </w:r>
            <w:proofErr w:type="spellEnd"/>
            <w:r w:rsidR="0002672C" w:rsidRPr="00190230">
              <w:rPr>
                <w:rFonts w:ascii="Times New Roman" w:hAnsi="Times New Roman" w:cs="Times New Roman"/>
                <w:b/>
                <w:color w:val="FFFFFF"/>
                <w:sz w:val="20"/>
                <w:szCs w:val="20"/>
                <w:lang w:val="en-US"/>
              </w:rPr>
              <w:t>e</w:t>
            </w:r>
          </w:p>
        </w:tc>
      </w:tr>
      <w:tr w:rsidR="00BF1628" w:rsidRPr="00190230" w14:paraId="19EA72ED" w14:textId="77777777" w:rsidTr="006A0EC0">
        <w:trPr>
          <w:trHeight w:val="663"/>
        </w:trPr>
        <w:tc>
          <w:tcPr>
            <w:tcW w:w="4962" w:type="dxa"/>
            <w:tcBorders>
              <w:top w:val="nil"/>
              <w:left w:val="single" w:sz="8" w:space="0" w:color="auto"/>
              <w:bottom w:val="single" w:sz="4" w:space="0" w:color="auto"/>
              <w:right w:val="single" w:sz="4" w:space="0" w:color="auto"/>
            </w:tcBorders>
            <w:shd w:val="clear" w:color="auto" w:fill="auto"/>
            <w:vAlign w:val="center"/>
            <w:hideMark/>
          </w:tcPr>
          <w:p w14:paraId="4E5D05AA" w14:textId="18AE5747" w:rsidR="00BF1628" w:rsidRPr="00190230" w:rsidRDefault="007F2ECC" w:rsidP="006A0EC0">
            <w:pPr>
              <w:rPr>
                <w:rFonts w:ascii="Times New Roman" w:hAnsi="Times New Roman" w:cs="Times New Roman"/>
                <w:sz w:val="20"/>
                <w:szCs w:val="20"/>
                <w:lang w:val="en-US"/>
              </w:rPr>
            </w:pPr>
            <w:r w:rsidRPr="00190230">
              <w:rPr>
                <w:rFonts w:ascii="Times New Roman" w:hAnsi="Times New Roman" w:cs="Times New Roman"/>
                <w:sz w:val="20"/>
                <w:szCs w:val="20"/>
                <w:lang w:val="en-US"/>
              </w:rPr>
              <w:lastRenderedPageBreak/>
              <w:t>Purchase/sale of financial instruments on local markets - from the transaction amount</w:t>
            </w:r>
          </w:p>
        </w:tc>
        <w:tc>
          <w:tcPr>
            <w:tcW w:w="5245" w:type="dxa"/>
            <w:tcBorders>
              <w:top w:val="nil"/>
              <w:left w:val="nil"/>
              <w:bottom w:val="single" w:sz="4" w:space="0" w:color="auto"/>
              <w:right w:val="single" w:sz="4" w:space="0" w:color="auto"/>
            </w:tcBorders>
            <w:shd w:val="clear" w:color="auto" w:fill="auto"/>
            <w:vAlign w:val="center"/>
            <w:hideMark/>
          </w:tcPr>
          <w:p w14:paraId="61AF3754" w14:textId="188013C5" w:rsidR="00BF1628" w:rsidRPr="00190230" w:rsidRDefault="00BF1628" w:rsidP="006A0EC0">
            <w:pPr>
              <w:spacing w:before="120"/>
              <w:rPr>
                <w:rFonts w:ascii="Times New Roman" w:hAnsi="Times New Roman" w:cs="Times New Roman"/>
                <w:sz w:val="20"/>
                <w:szCs w:val="20"/>
                <w:lang w:val="en-US"/>
              </w:rPr>
            </w:pPr>
            <w:r w:rsidRPr="00190230">
              <w:rPr>
                <w:rFonts w:ascii="Times New Roman" w:hAnsi="Times New Roman" w:cs="Times New Roman"/>
                <w:sz w:val="20"/>
                <w:szCs w:val="20"/>
              </w:rPr>
              <w:t>0</w:t>
            </w:r>
            <w:r w:rsidR="00195739" w:rsidRPr="00190230">
              <w:rPr>
                <w:rFonts w:ascii="Times New Roman" w:hAnsi="Times New Roman" w:cs="Times New Roman"/>
                <w:sz w:val="20"/>
                <w:szCs w:val="20"/>
                <w:lang w:val="en-US"/>
              </w:rPr>
              <w:t>.</w:t>
            </w:r>
            <w:r w:rsidRPr="00190230">
              <w:rPr>
                <w:rFonts w:ascii="Times New Roman" w:hAnsi="Times New Roman" w:cs="Times New Roman"/>
                <w:sz w:val="20"/>
                <w:szCs w:val="20"/>
              </w:rPr>
              <w:t xml:space="preserve">1%, </w:t>
            </w:r>
            <w:r w:rsidR="00195739" w:rsidRPr="00190230">
              <w:rPr>
                <w:rFonts w:ascii="Times New Roman" w:hAnsi="Times New Roman" w:cs="Times New Roman"/>
                <w:sz w:val="20"/>
                <w:szCs w:val="20"/>
              </w:rPr>
              <w:t>n</w:t>
            </w:r>
            <w:r w:rsidR="00195739" w:rsidRPr="00190230">
              <w:rPr>
                <w:rFonts w:ascii="Times New Roman" w:hAnsi="Times New Roman" w:cs="Times New Roman"/>
                <w:sz w:val="20"/>
                <w:szCs w:val="20"/>
                <w:lang w:val="en-US"/>
              </w:rPr>
              <w:t>o</w:t>
            </w:r>
            <w:r w:rsidR="00195739" w:rsidRPr="00190230">
              <w:rPr>
                <w:rFonts w:ascii="Times New Roman" w:hAnsi="Times New Roman" w:cs="Times New Roman"/>
                <w:sz w:val="20"/>
                <w:szCs w:val="20"/>
              </w:rPr>
              <w:t xml:space="preserve">t </w:t>
            </w:r>
            <w:proofErr w:type="spellStart"/>
            <w:r w:rsidR="00195739" w:rsidRPr="00190230">
              <w:rPr>
                <w:rFonts w:ascii="Times New Roman" w:hAnsi="Times New Roman" w:cs="Times New Roman"/>
                <w:sz w:val="20"/>
                <w:szCs w:val="20"/>
              </w:rPr>
              <w:t>less</w:t>
            </w:r>
            <w:proofErr w:type="spellEnd"/>
            <w:r w:rsidR="00195739" w:rsidRPr="00190230">
              <w:rPr>
                <w:rFonts w:ascii="Times New Roman" w:hAnsi="Times New Roman" w:cs="Times New Roman"/>
                <w:sz w:val="20"/>
                <w:szCs w:val="20"/>
              </w:rPr>
              <w:t xml:space="preserve"> </w:t>
            </w:r>
            <w:r w:rsidR="00195739" w:rsidRPr="00190230">
              <w:rPr>
                <w:rFonts w:ascii="Times New Roman" w:hAnsi="Times New Roman" w:cs="Times New Roman"/>
                <w:sz w:val="20"/>
                <w:szCs w:val="20"/>
                <w:lang w:val="en-US"/>
              </w:rPr>
              <w:t>t</w:t>
            </w:r>
            <w:proofErr w:type="spellStart"/>
            <w:r w:rsidR="00195739" w:rsidRPr="00190230">
              <w:rPr>
                <w:rFonts w:ascii="Times New Roman" w:hAnsi="Times New Roman" w:cs="Times New Roman"/>
                <w:sz w:val="20"/>
                <w:szCs w:val="20"/>
              </w:rPr>
              <w:t>han</w:t>
            </w:r>
            <w:proofErr w:type="spellEnd"/>
            <w:r w:rsidRPr="00190230">
              <w:rPr>
                <w:rFonts w:ascii="Times New Roman" w:hAnsi="Times New Roman" w:cs="Times New Roman"/>
                <w:sz w:val="20"/>
                <w:szCs w:val="20"/>
              </w:rPr>
              <w:t xml:space="preserve"> 1 М</w:t>
            </w:r>
            <w:r w:rsidR="00195739" w:rsidRPr="00190230">
              <w:rPr>
                <w:rFonts w:ascii="Times New Roman" w:hAnsi="Times New Roman" w:cs="Times New Roman"/>
                <w:sz w:val="20"/>
                <w:szCs w:val="20"/>
                <w:lang w:val="en-US"/>
              </w:rPr>
              <w:t>CI</w:t>
            </w:r>
          </w:p>
        </w:tc>
      </w:tr>
      <w:tr w:rsidR="00BF1628" w:rsidRPr="00190230" w14:paraId="08BD10DC" w14:textId="77777777" w:rsidTr="006A0EC0">
        <w:trPr>
          <w:trHeight w:val="85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247A6AB" w14:textId="4C619ADB" w:rsidR="00BF1628" w:rsidRPr="00190230" w:rsidRDefault="00F31943" w:rsidP="006A0EC0">
            <w:pPr>
              <w:rPr>
                <w:rFonts w:ascii="Times New Roman" w:hAnsi="Times New Roman" w:cs="Times New Roman"/>
                <w:sz w:val="20"/>
                <w:szCs w:val="20"/>
                <w:lang w:val="en-US"/>
              </w:rPr>
            </w:pPr>
            <w:r w:rsidRPr="00190230">
              <w:rPr>
                <w:rFonts w:ascii="Times New Roman" w:hAnsi="Times New Roman" w:cs="Times New Roman"/>
                <w:sz w:val="20"/>
                <w:szCs w:val="20"/>
                <w:lang w:val="en-US"/>
              </w:rPr>
              <w:t>Purchase/sale of equity financial instruments on the American market – from the transaction amount</w:t>
            </w:r>
          </w:p>
        </w:tc>
        <w:tc>
          <w:tcPr>
            <w:tcW w:w="5245" w:type="dxa"/>
            <w:tcBorders>
              <w:top w:val="single" w:sz="4" w:space="0" w:color="auto"/>
              <w:left w:val="nil"/>
              <w:bottom w:val="single" w:sz="4" w:space="0" w:color="auto"/>
              <w:right w:val="single" w:sz="4" w:space="0" w:color="auto"/>
            </w:tcBorders>
            <w:shd w:val="clear" w:color="auto" w:fill="auto"/>
            <w:vAlign w:val="center"/>
          </w:tcPr>
          <w:p w14:paraId="21D1CD48" w14:textId="1061C06A" w:rsidR="00BF1628" w:rsidRPr="00190230" w:rsidRDefault="00BF1628" w:rsidP="006A0EC0">
            <w:pPr>
              <w:rPr>
                <w:rFonts w:ascii="Times New Roman" w:hAnsi="Times New Roman" w:cs="Times New Roman"/>
                <w:sz w:val="20"/>
                <w:szCs w:val="20"/>
              </w:rPr>
            </w:pPr>
            <w:r w:rsidRPr="00190230">
              <w:rPr>
                <w:rFonts w:ascii="Times New Roman" w:hAnsi="Times New Roman" w:cs="Times New Roman"/>
                <w:sz w:val="20"/>
                <w:szCs w:val="20"/>
              </w:rPr>
              <w:t>0</w:t>
            </w:r>
            <w:r w:rsidR="00F31943" w:rsidRPr="00190230">
              <w:rPr>
                <w:rFonts w:ascii="Times New Roman" w:hAnsi="Times New Roman" w:cs="Times New Roman"/>
                <w:sz w:val="20"/>
                <w:szCs w:val="20"/>
                <w:lang w:val="en-US"/>
              </w:rPr>
              <w:t>.</w:t>
            </w:r>
            <w:r w:rsidRPr="00190230">
              <w:rPr>
                <w:rFonts w:ascii="Times New Roman" w:hAnsi="Times New Roman" w:cs="Times New Roman"/>
                <w:sz w:val="20"/>
                <w:szCs w:val="20"/>
              </w:rPr>
              <w:t xml:space="preserve">15%, </w:t>
            </w:r>
            <w:r w:rsidR="00F31943" w:rsidRPr="00190230">
              <w:rPr>
                <w:rFonts w:ascii="Times New Roman" w:hAnsi="Times New Roman" w:cs="Times New Roman"/>
                <w:sz w:val="20"/>
                <w:szCs w:val="20"/>
              </w:rPr>
              <w:t>n</w:t>
            </w:r>
            <w:r w:rsidR="00F31943" w:rsidRPr="00190230">
              <w:rPr>
                <w:rFonts w:ascii="Times New Roman" w:hAnsi="Times New Roman" w:cs="Times New Roman"/>
                <w:sz w:val="20"/>
                <w:szCs w:val="20"/>
                <w:lang w:val="en-US"/>
              </w:rPr>
              <w:t>o</w:t>
            </w:r>
            <w:r w:rsidR="00F31943" w:rsidRPr="00190230">
              <w:rPr>
                <w:rFonts w:ascii="Times New Roman" w:hAnsi="Times New Roman" w:cs="Times New Roman"/>
                <w:sz w:val="20"/>
                <w:szCs w:val="20"/>
              </w:rPr>
              <w:t xml:space="preserve">t </w:t>
            </w:r>
            <w:proofErr w:type="spellStart"/>
            <w:r w:rsidR="00F31943" w:rsidRPr="00190230">
              <w:rPr>
                <w:rFonts w:ascii="Times New Roman" w:hAnsi="Times New Roman" w:cs="Times New Roman"/>
                <w:sz w:val="20"/>
                <w:szCs w:val="20"/>
              </w:rPr>
              <w:t>less</w:t>
            </w:r>
            <w:proofErr w:type="spellEnd"/>
            <w:r w:rsidR="00F31943" w:rsidRPr="00190230">
              <w:rPr>
                <w:rFonts w:ascii="Times New Roman" w:hAnsi="Times New Roman" w:cs="Times New Roman"/>
                <w:sz w:val="20"/>
                <w:szCs w:val="20"/>
              </w:rPr>
              <w:t xml:space="preserve"> </w:t>
            </w:r>
            <w:r w:rsidR="00F31943" w:rsidRPr="00190230">
              <w:rPr>
                <w:rFonts w:ascii="Times New Roman" w:hAnsi="Times New Roman" w:cs="Times New Roman"/>
                <w:sz w:val="20"/>
                <w:szCs w:val="20"/>
                <w:lang w:val="en-US"/>
              </w:rPr>
              <w:t>t</w:t>
            </w:r>
            <w:proofErr w:type="spellStart"/>
            <w:r w:rsidR="00F31943" w:rsidRPr="00190230">
              <w:rPr>
                <w:rFonts w:ascii="Times New Roman" w:hAnsi="Times New Roman" w:cs="Times New Roman"/>
                <w:sz w:val="20"/>
                <w:szCs w:val="20"/>
              </w:rPr>
              <w:t>han</w:t>
            </w:r>
            <w:proofErr w:type="spellEnd"/>
            <w:r w:rsidR="00F31943" w:rsidRPr="00190230">
              <w:rPr>
                <w:rFonts w:ascii="Times New Roman" w:hAnsi="Times New Roman" w:cs="Times New Roman"/>
                <w:sz w:val="20"/>
                <w:szCs w:val="20"/>
              </w:rPr>
              <w:t xml:space="preserve"> </w:t>
            </w:r>
            <w:r w:rsidR="00F31943" w:rsidRPr="00190230">
              <w:rPr>
                <w:rFonts w:ascii="Times New Roman" w:hAnsi="Times New Roman" w:cs="Times New Roman"/>
                <w:sz w:val="20"/>
                <w:szCs w:val="20"/>
                <w:lang w:val="en-US"/>
              </w:rPr>
              <w:t>4</w:t>
            </w:r>
            <w:r w:rsidR="00F31943" w:rsidRPr="00190230">
              <w:rPr>
                <w:rFonts w:ascii="Times New Roman" w:hAnsi="Times New Roman" w:cs="Times New Roman"/>
                <w:sz w:val="20"/>
                <w:szCs w:val="20"/>
              </w:rPr>
              <w:t xml:space="preserve"> М</w:t>
            </w:r>
            <w:r w:rsidR="00F31943" w:rsidRPr="00190230">
              <w:rPr>
                <w:rFonts w:ascii="Times New Roman" w:hAnsi="Times New Roman" w:cs="Times New Roman"/>
                <w:sz w:val="20"/>
                <w:szCs w:val="20"/>
                <w:lang w:val="en-US"/>
              </w:rPr>
              <w:t>CI</w:t>
            </w:r>
          </w:p>
        </w:tc>
      </w:tr>
      <w:tr w:rsidR="00BF1628" w:rsidRPr="00190230" w14:paraId="046843BD" w14:textId="77777777" w:rsidTr="006A0EC0">
        <w:trPr>
          <w:trHeight w:val="85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83C8942" w14:textId="5C038497" w:rsidR="00BF1628" w:rsidRPr="00190230" w:rsidRDefault="001A2194" w:rsidP="006A0EC0">
            <w:pPr>
              <w:rPr>
                <w:rFonts w:ascii="Times New Roman" w:hAnsi="Times New Roman" w:cs="Times New Roman"/>
                <w:sz w:val="20"/>
                <w:szCs w:val="20"/>
                <w:lang w:val="en-US"/>
              </w:rPr>
            </w:pPr>
            <w:r w:rsidRPr="00190230">
              <w:rPr>
                <w:rFonts w:ascii="Times New Roman" w:hAnsi="Times New Roman" w:cs="Times New Roman"/>
                <w:sz w:val="20"/>
                <w:szCs w:val="20"/>
                <w:lang w:val="en-US"/>
              </w:rPr>
              <w:t>Purchase/sale of debt financial instruments issued by the U.S. Treasury Department – from the transaction amount</w:t>
            </w:r>
          </w:p>
        </w:tc>
        <w:tc>
          <w:tcPr>
            <w:tcW w:w="5245" w:type="dxa"/>
            <w:tcBorders>
              <w:top w:val="single" w:sz="4" w:space="0" w:color="auto"/>
              <w:left w:val="nil"/>
              <w:bottom w:val="single" w:sz="4" w:space="0" w:color="auto"/>
              <w:right w:val="single" w:sz="4" w:space="0" w:color="auto"/>
            </w:tcBorders>
            <w:shd w:val="clear" w:color="auto" w:fill="auto"/>
            <w:vAlign w:val="center"/>
          </w:tcPr>
          <w:p w14:paraId="256A91CE" w14:textId="1C2E3398" w:rsidR="00BF1628" w:rsidRPr="00190230" w:rsidRDefault="00BF1628" w:rsidP="006A0EC0">
            <w:pPr>
              <w:rPr>
                <w:rFonts w:ascii="Times New Roman" w:hAnsi="Times New Roman" w:cs="Times New Roman"/>
                <w:sz w:val="20"/>
                <w:szCs w:val="20"/>
              </w:rPr>
            </w:pPr>
            <w:r w:rsidRPr="00190230">
              <w:rPr>
                <w:rFonts w:ascii="Times New Roman" w:hAnsi="Times New Roman" w:cs="Times New Roman"/>
                <w:sz w:val="20"/>
                <w:szCs w:val="20"/>
              </w:rPr>
              <w:t xml:space="preserve">0,15%, </w:t>
            </w:r>
            <w:r w:rsidR="001A2194" w:rsidRPr="00190230">
              <w:rPr>
                <w:rFonts w:ascii="Times New Roman" w:hAnsi="Times New Roman" w:cs="Times New Roman"/>
                <w:sz w:val="20"/>
                <w:szCs w:val="20"/>
              </w:rPr>
              <w:t>n</w:t>
            </w:r>
            <w:r w:rsidR="001A2194" w:rsidRPr="00190230">
              <w:rPr>
                <w:rFonts w:ascii="Times New Roman" w:hAnsi="Times New Roman" w:cs="Times New Roman"/>
                <w:sz w:val="20"/>
                <w:szCs w:val="20"/>
                <w:lang w:val="en-US"/>
              </w:rPr>
              <w:t>o</w:t>
            </w:r>
            <w:r w:rsidR="001A2194" w:rsidRPr="00190230">
              <w:rPr>
                <w:rFonts w:ascii="Times New Roman" w:hAnsi="Times New Roman" w:cs="Times New Roman"/>
                <w:sz w:val="20"/>
                <w:szCs w:val="20"/>
              </w:rPr>
              <w:t xml:space="preserve">t </w:t>
            </w:r>
            <w:proofErr w:type="spellStart"/>
            <w:r w:rsidR="001A2194" w:rsidRPr="00190230">
              <w:rPr>
                <w:rFonts w:ascii="Times New Roman" w:hAnsi="Times New Roman" w:cs="Times New Roman"/>
                <w:sz w:val="20"/>
                <w:szCs w:val="20"/>
              </w:rPr>
              <w:t>less</w:t>
            </w:r>
            <w:proofErr w:type="spellEnd"/>
            <w:r w:rsidR="001A2194" w:rsidRPr="00190230">
              <w:rPr>
                <w:rFonts w:ascii="Times New Roman" w:hAnsi="Times New Roman" w:cs="Times New Roman"/>
                <w:sz w:val="20"/>
                <w:szCs w:val="20"/>
              </w:rPr>
              <w:t xml:space="preserve"> </w:t>
            </w:r>
            <w:r w:rsidR="001A2194" w:rsidRPr="00190230">
              <w:rPr>
                <w:rFonts w:ascii="Times New Roman" w:hAnsi="Times New Roman" w:cs="Times New Roman"/>
                <w:sz w:val="20"/>
                <w:szCs w:val="20"/>
                <w:lang w:val="en-US"/>
              </w:rPr>
              <w:t>t</w:t>
            </w:r>
            <w:proofErr w:type="spellStart"/>
            <w:r w:rsidR="001A2194" w:rsidRPr="00190230">
              <w:rPr>
                <w:rFonts w:ascii="Times New Roman" w:hAnsi="Times New Roman" w:cs="Times New Roman"/>
                <w:sz w:val="20"/>
                <w:szCs w:val="20"/>
              </w:rPr>
              <w:t>han</w:t>
            </w:r>
            <w:proofErr w:type="spellEnd"/>
            <w:r w:rsidR="001A2194" w:rsidRPr="00190230">
              <w:rPr>
                <w:rFonts w:ascii="Times New Roman" w:hAnsi="Times New Roman" w:cs="Times New Roman"/>
                <w:sz w:val="20"/>
                <w:szCs w:val="20"/>
              </w:rPr>
              <w:t xml:space="preserve"> 25 М</w:t>
            </w:r>
            <w:r w:rsidR="001A2194" w:rsidRPr="00190230">
              <w:rPr>
                <w:rFonts w:ascii="Times New Roman" w:hAnsi="Times New Roman" w:cs="Times New Roman"/>
                <w:sz w:val="20"/>
                <w:szCs w:val="20"/>
                <w:lang w:val="en-US"/>
              </w:rPr>
              <w:t>CI</w:t>
            </w:r>
          </w:p>
        </w:tc>
      </w:tr>
      <w:tr w:rsidR="00BF1628" w:rsidRPr="00190230" w14:paraId="0F337421" w14:textId="77777777" w:rsidTr="006A0EC0">
        <w:trPr>
          <w:trHeight w:val="85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B4A1B" w14:textId="634B578E" w:rsidR="00BF1628" w:rsidRPr="00190230" w:rsidRDefault="00A87F00" w:rsidP="006A0EC0">
            <w:pPr>
              <w:rPr>
                <w:rFonts w:ascii="Times New Roman" w:hAnsi="Times New Roman" w:cs="Times New Roman"/>
                <w:sz w:val="20"/>
                <w:szCs w:val="20"/>
                <w:lang w:val="en-US"/>
              </w:rPr>
            </w:pPr>
            <w:r w:rsidRPr="00190230">
              <w:rPr>
                <w:rFonts w:ascii="Times New Roman" w:hAnsi="Times New Roman" w:cs="Times New Roman"/>
                <w:sz w:val="20"/>
                <w:szCs w:val="20"/>
                <w:lang w:val="en-US"/>
              </w:rPr>
              <w:t>Purchase/sale of financial instruments (equity and debt) on the over–the-counter/international market - from the transaction amount</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7956BA3B" w14:textId="7BF9C568" w:rsidR="00BF1628" w:rsidRPr="00190230" w:rsidRDefault="00BF1628" w:rsidP="006A0EC0">
            <w:pPr>
              <w:rPr>
                <w:rFonts w:ascii="Times New Roman" w:hAnsi="Times New Roman" w:cs="Times New Roman"/>
                <w:sz w:val="20"/>
                <w:szCs w:val="20"/>
                <w:lang w:val="en-US"/>
              </w:rPr>
            </w:pPr>
            <w:r w:rsidRPr="00190230">
              <w:rPr>
                <w:rFonts w:ascii="Times New Roman" w:hAnsi="Times New Roman" w:cs="Times New Roman"/>
                <w:sz w:val="20"/>
                <w:szCs w:val="20"/>
                <w:lang w:val="en-US"/>
              </w:rPr>
              <w:t xml:space="preserve">0,25%, </w:t>
            </w:r>
            <w:r w:rsidR="005728D9" w:rsidRPr="00190230">
              <w:rPr>
                <w:rFonts w:ascii="Times New Roman" w:hAnsi="Times New Roman" w:cs="Times New Roman"/>
                <w:sz w:val="20"/>
                <w:szCs w:val="20"/>
              </w:rPr>
              <w:t>n</w:t>
            </w:r>
            <w:r w:rsidR="005728D9" w:rsidRPr="00190230">
              <w:rPr>
                <w:rFonts w:ascii="Times New Roman" w:hAnsi="Times New Roman" w:cs="Times New Roman"/>
                <w:sz w:val="20"/>
                <w:szCs w:val="20"/>
                <w:lang w:val="en-US"/>
              </w:rPr>
              <w:t>o</w:t>
            </w:r>
            <w:r w:rsidR="005728D9" w:rsidRPr="00190230">
              <w:rPr>
                <w:rFonts w:ascii="Times New Roman" w:hAnsi="Times New Roman" w:cs="Times New Roman"/>
                <w:sz w:val="20"/>
                <w:szCs w:val="20"/>
              </w:rPr>
              <w:t xml:space="preserve">t </w:t>
            </w:r>
            <w:proofErr w:type="spellStart"/>
            <w:r w:rsidR="005728D9" w:rsidRPr="00190230">
              <w:rPr>
                <w:rFonts w:ascii="Times New Roman" w:hAnsi="Times New Roman" w:cs="Times New Roman"/>
                <w:sz w:val="20"/>
                <w:szCs w:val="20"/>
              </w:rPr>
              <w:t>less</w:t>
            </w:r>
            <w:proofErr w:type="spellEnd"/>
            <w:r w:rsidR="005728D9" w:rsidRPr="00190230">
              <w:rPr>
                <w:rFonts w:ascii="Times New Roman" w:hAnsi="Times New Roman" w:cs="Times New Roman"/>
                <w:sz w:val="20"/>
                <w:szCs w:val="20"/>
              </w:rPr>
              <w:t xml:space="preserve"> </w:t>
            </w:r>
            <w:r w:rsidR="005728D9" w:rsidRPr="00190230">
              <w:rPr>
                <w:rFonts w:ascii="Times New Roman" w:hAnsi="Times New Roman" w:cs="Times New Roman"/>
                <w:sz w:val="20"/>
                <w:szCs w:val="20"/>
                <w:lang w:val="en-US"/>
              </w:rPr>
              <w:t>t</w:t>
            </w:r>
            <w:proofErr w:type="spellStart"/>
            <w:r w:rsidR="005728D9" w:rsidRPr="00190230">
              <w:rPr>
                <w:rFonts w:ascii="Times New Roman" w:hAnsi="Times New Roman" w:cs="Times New Roman"/>
                <w:sz w:val="20"/>
                <w:szCs w:val="20"/>
              </w:rPr>
              <w:t>han</w:t>
            </w:r>
            <w:proofErr w:type="spellEnd"/>
            <w:r w:rsidR="005728D9" w:rsidRPr="00190230">
              <w:rPr>
                <w:rFonts w:ascii="Times New Roman" w:hAnsi="Times New Roman" w:cs="Times New Roman"/>
                <w:sz w:val="20"/>
                <w:szCs w:val="20"/>
              </w:rPr>
              <w:t xml:space="preserve"> </w:t>
            </w:r>
            <w:r w:rsidR="005728D9" w:rsidRPr="00190230">
              <w:rPr>
                <w:rFonts w:ascii="Times New Roman" w:hAnsi="Times New Roman" w:cs="Times New Roman"/>
                <w:sz w:val="20"/>
                <w:szCs w:val="20"/>
                <w:lang w:val="en-US"/>
              </w:rPr>
              <w:t>7</w:t>
            </w:r>
            <w:r w:rsidR="005728D9" w:rsidRPr="00190230">
              <w:rPr>
                <w:rFonts w:ascii="Times New Roman" w:hAnsi="Times New Roman" w:cs="Times New Roman"/>
                <w:sz w:val="20"/>
                <w:szCs w:val="20"/>
              </w:rPr>
              <w:t xml:space="preserve"> М</w:t>
            </w:r>
            <w:r w:rsidR="005728D9" w:rsidRPr="00190230">
              <w:rPr>
                <w:rFonts w:ascii="Times New Roman" w:hAnsi="Times New Roman" w:cs="Times New Roman"/>
                <w:sz w:val="20"/>
                <w:szCs w:val="20"/>
                <w:lang w:val="en-US"/>
              </w:rPr>
              <w:t>CI</w:t>
            </w:r>
          </w:p>
        </w:tc>
      </w:tr>
      <w:tr w:rsidR="00BF1628" w:rsidRPr="00027DF8" w14:paraId="686F7A31" w14:textId="77777777" w:rsidTr="006A0EC0">
        <w:trPr>
          <w:trHeight w:val="859"/>
        </w:trPr>
        <w:tc>
          <w:tcPr>
            <w:tcW w:w="4962" w:type="dxa"/>
            <w:tcBorders>
              <w:top w:val="single" w:sz="4" w:space="0" w:color="auto"/>
              <w:left w:val="single" w:sz="4" w:space="0" w:color="auto"/>
              <w:bottom w:val="single" w:sz="4" w:space="0" w:color="auto"/>
              <w:right w:val="single" w:sz="4" w:space="0" w:color="auto"/>
            </w:tcBorders>
            <w:shd w:val="clear" w:color="auto" w:fill="auto"/>
          </w:tcPr>
          <w:p w14:paraId="4F6D10D8" w14:textId="77777777" w:rsidR="000C7FB0" w:rsidRPr="00190230" w:rsidRDefault="000C7FB0" w:rsidP="006A0EC0">
            <w:pPr>
              <w:rPr>
                <w:rFonts w:ascii="Times New Roman" w:hAnsi="Times New Roman" w:cs="Times New Roman"/>
                <w:sz w:val="20"/>
                <w:szCs w:val="20"/>
                <w:lang w:val="en-US"/>
              </w:rPr>
            </w:pPr>
            <w:r w:rsidRPr="00190230">
              <w:rPr>
                <w:rFonts w:ascii="Times New Roman" w:hAnsi="Times New Roman" w:cs="Times New Roman"/>
                <w:sz w:val="20"/>
                <w:szCs w:val="20"/>
                <w:lang w:val="en-US"/>
              </w:rPr>
              <w:t xml:space="preserve">REPO transactions </w:t>
            </w:r>
          </w:p>
          <w:p w14:paraId="048F161F" w14:textId="77777777" w:rsidR="000C7FB0" w:rsidRPr="00190230" w:rsidRDefault="000C7FB0" w:rsidP="006A0EC0">
            <w:pPr>
              <w:rPr>
                <w:rFonts w:ascii="Times New Roman" w:hAnsi="Times New Roman" w:cs="Times New Roman"/>
                <w:sz w:val="20"/>
                <w:szCs w:val="20"/>
                <w:lang w:val="en-US"/>
              </w:rPr>
            </w:pPr>
          </w:p>
          <w:p w14:paraId="3E10EA10" w14:textId="262C1785" w:rsidR="00BF1628" w:rsidRPr="00190230" w:rsidRDefault="000C7FB0" w:rsidP="006A0EC0">
            <w:pPr>
              <w:rPr>
                <w:rFonts w:ascii="Times New Roman" w:hAnsi="Times New Roman" w:cs="Times New Roman"/>
                <w:sz w:val="20"/>
                <w:szCs w:val="20"/>
                <w:lang w:val="en-US"/>
              </w:rPr>
            </w:pPr>
            <w:r w:rsidRPr="00190230">
              <w:rPr>
                <w:rFonts w:ascii="Times New Roman" w:hAnsi="Times New Roman" w:cs="Times New Roman"/>
                <w:sz w:val="20"/>
                <w:szCs w:val="20"/>
                <w:lang w:val="en-US"/>
              </w:rPr>
              <w:t>in the reverse REPO operation (placement of funds) – as a percentage of the client's income;</w:t>
            </w:r>
          </w:p>
          <w:p w14:paraId="2802C689" w14:textId="77777777" w:rsidR="000C7FB0" w:rsidRPr="00190230" w:rsidRDefault="000C7FB0" w:rsidP="006A0EC0">
            <w:pPr>
              <w:rPr>
                <w:rFonts w:ascii="Times New Roman" w:hAnsi="Times New Roman" w:cs="Times New Roman"/>
                <w:sz w:val="20"/>
                <w:szCs w:val="20"/>
                <w:lang w:val="en-US"/>
              </w:rPr>
            </w:pPr>
          </w:p>
          <w:p w14:paraId="29F039A3" w14:textId="323F94E7" w:rsidR="00BF1628" w:rsidRPr="00190230" w:rsidDel="00F33065" w:rsidRDefault="00D463F0" w:rsidP="006A0EC0">
            <w:pPr>
              <w:rPr>
                <w:rFonts w:ascii="Times New Roman" w:hAnsi="Times New Roman" w:cs="Times New Roman"/>
                <w:sz w:val="20"/>
                <w:szCs w:val="20"/>
                <w:lang w:val="en-US"/>
              </w:rPr>
            </w:pPr>
            <w:r w:rsidRPr="00190230">
              <w:rPr>
                <w:rFonts w:ascii="Times New Roman" w:hAnsi="Times New Roman" w:cs="Times New Roman"/>
                <w:sz w:val="20"/>
                <w:szCs w:val="20"/>
                <w:lang w:val="en-US"/>
              </w:rPr>
              <w:t>in the case of a REPO operation (raising funds) – as a percentage of the difference between the volume of closing and opening</w:t>
            </w:r>
          </w:p>
        </w:tc>
        <w:tc>
          <w:tcPr>
            <w:tcW w:w="5245" w:type="dxa"/>
            <w:tcBorders>
              <w:top w:val="single" w:sz="4" w:space="0" w:color="auto"/>
              <w:left w:val="nil"/>
              <w:bottom w:val="single" w:sz="4" w:space="0" w:color="auto"/>
              <w:right w:val="single" w:sz="4" w:space="0" w:color="auto"/>
            </w:tcBorders>
            <w:shd w:val="clear" w:color="auto" w:fill="auto"/>
          </w:tcPr>
          <w:p w14:paraId="7FDFE32D" w14:textId="77777777" w:rsidR="00BF1628" w:rsidRPr="00190230" w:rsidRDefault="00BF1628" w:rsidP="006A0EC0">
            <w:pPr>
              <w:jc w:val="both"/>
              <w:rPr>
                <w:rFonts w:ascii="Times New Roman" w:hAnsi="Times New Roman" w:cs="Times New Roman"/>
                <w:sz w:val="20"/>
                <w:szCs w:val="20"/>
                <w:lang w:val="en-US"/>
              </w:rPr>
            </w:pPr>
          </w:p>
          <w:p w14:paraId="4B1B21B2" w14:textId="77777777" w:rsidR="00BF1628" w:rsidRPr="00190230" w:rsidRDefault="00BF1628" w:rsidP="006A0EC0">
            <w:pPr>
              <w:jc w:val="both"/>
              <w:rPr>
                <w:rFonts w:ascii="Times New Roman" w:hAnsi="Times New Roman" w:cs="Times New Roman"/>
                <w:sz w:val="20"/>
                <w:szCs w:val="20"/>
                <w:lang w:val="en-US"/>
              </w:rPr>
            </w:pPr>
          </w:p>
          <w:p w14:paraId="3E563140" w14:textId="198A1A05" w:rsidR="00BF1628" w:rsidRPr="00190230" w:rsidRDefault="00141502" w:rsidP="006A0EC0">
            <w:pPr>
              <w:jc w:val="both"/>
              <w:rPr>
                <w:rFonts w:ascii="Times New Roman" w:hAnsi="Times New Roman" w:cs="Times New Roman"/>
                <w:sz w:val="20"/>
                <w:szCs w:val="20"/>
                <w:lang w:val="en-US"/>
              </w:rPr>
            </w:pPr>
            <w:r w:rsidRPr="00190230">
              <w:rPr>
                <w:rFonts w:ascii="Times New Roman" w:hAnsi="Times New Roman" w:cs="Times New Roman"/>
                <w:sz w:val="20"/>
                <w:szCs w:val="20"/>
                <w:lang w:val="en-US"/>
              </w:rPr>
              <w:t>0.5% of the amount of income within one customer order, at least 2 MCI</w:t>
            </w:r>
          </w:p>
          <w:p w14:paraId="689FF157" w14:textId="77777777" w:rsidR="00141502" w:rsidRPr="00190230" w:rsidRDefault="00141502" w:rsidP="006A0EC0">
            <w:pPr>
              <w:jc w:val="both"/>
              <w:rPr>
                <w:rFonts w:ascii="Times New Roman" w:hAnsi="Times New Roman" w:cs="Times New Roman"/>
                <w:sz w:val="20"/>
                <w:szCs w:val="20"/>
                <w:lang w:val="en-US"/>
              </w:rPr>
            </w:pPr>
          </w:p>
          <w:p w14:paraId="0BAC34BA" w14:textId="240DEF9A" w:rsidR="00BF1628" w:rsidRPr="00190230" w:rsidDel="00F33065" w:rsidRDefault="00D35AD5" w:rsidP="006A0EC0">
            <w:pPr>
              <w:jc w:val="both"/>
              <w:rPr>
                <w:rFonts w:ascii="Times New Roman" w:hAnsi="Times New Roman" w:cs="Times New Roman"/>
                <w:sz w:val="20"/>
                <w:szCs w:val="20"/>
                <w:lang w:val="en-US"/>
              </w:rPr>
            </w:pPr>
            <w:r w:rsidRPr="00190230">
              <w:rPr>
                <w:rFonts w:ascii="Times New Roman" w:hAnsi="Times New Roman" w:cs="Times New Roman"/>
                <w:sz w:val="20"/>
                <w:szCs w:val="20"/>
                <w:lang w:val="en-US"/>
              </w:rPr>
              <w:t>1% of the amount of income within a single customer order, at least 2 MCI</w:t>
            </w:r>
          </w:p>
        </w:tc>
      </w:tr>
      <w:tr w:rsidR="00BF1628" w:rsidRPr="00027DF8" w14:paraId="2EC5175A" w14:textId="77777777" w:rsidTr="006A0EC0">
        <w:trPr>
          <w:trHeight w:val="507"/>
        </w:trPr>
        <w:tc>
          <w:tcPr>
            <w:tcW w:w="4962" w:type="dxa"/>
            <w:tcBorders>
              <w:top w:val="single" w:sz="4" w:space="0" w:color="auto"/>
              <w:left w:val="single" w:sz="4" w:space="0" w:color="auto"/>
              <w:bottom w:val="single" w:sz="4" w:space="0" w:color="auto"/>
              <w:right w:val="single" w:sz="4" w:space="0" w:color="auto"/>
            </w:tcBorders>
            <w:shd w:val="clear" w:color="auto" w:fill="auto"/>
          </w:tcPr>
          <w:p w14:paraId="17AF939A" w14:textId="469660C1" w:rsidR="00BF1628" w:rsidRPr="00190230" w:rsidDel="00F33065" w:rsidRDefault="00D35AD5" w:rsidP="006A0EC0">
            <w:pPr>
              <w:rPr>
                <w:rFonts w:ascii="Times New Roman" w:hAnsi="Times New Roman" w:cs="Times New Roman"/>
                <w:sz w:val="20"/>
                <w:szCs w:val="20"/>
                <w:lang w:val="en-US"/>
              </w:rPr>
            </w:pPr>
            <w:r w:rsidRPr="00190230">
              <w:rPr>
                <w:rFonts w:ascii="Times New Roman" w:hAnsi="Times New Roman" w:cs="Times New Roman"/>
                <w:sz w:val="20"/>
                <w:szCs w:val="20"/>
                <w:lang w:val="en-US"/>
              </w:rPr>
              <w:t>Conversion of funds on the exchange depends on the volume of conversion</w:t>
            </w:r>
          </w:p>
        </w:tc>
        <w:tc>
          <w:tcPr>
            <w:tcW w:w="5245" w:type="dxa"/>
            <w:tcBorders>
              <w:top w:val="single" w:sz="4" w:space="0" w:color="auto"/>
              <w:left w:val="nil"/>
              <w:bottom w:val="single" w:sz="4" w:space="0" w:color="auto"/>
              <w:right w:val="single" w:sz="4" w:space="0" w:color="auto"/>
            </w:tcBorders>
            <w:shd w:val="clear" w:color="auto" w:fill="auto"/>
          </w:tcPr>
          <w:p w14:paraId="45BE40B4" w14:textId="36F89F41" w:rsidR="00BF1628" w:rsidRPr="00190230" w:rsidDel="00F33065" w:rsidRDefault="009D3DAC" w:rsidP="006A0EC0">
            <w:pPr>
              <w:jc w:val="both"/>
              <w:rPr>
                <w:rFonts w:ascii="Times New Roman" w:hAnsi="Times New Roman" w:cs="Times New Roman"/>
                <w:sz w:val="20"/>
                <w:szCs w:val="20"/>
                <w:lang w:val="en-US"/>
              </w:rPr>
            </w:pPr>
            <w:r w:rsidRPr="00190230">
              <w:rPr>
                <w:rFonts w:ascii="Times New Roman" w:hAnsi="Times New Roman" w:cs="Times New Roman"/>
                <w:sz w:val="20"/>
                <w:szCs w:val="20"/>
                <w:lang w:val="en-US"/>
              </w:rPr>
              <w:t>0.05% of the transaction amount, not less than 1 MCI</w:t>
            </w:r>
          </w:p>
        </w:tc>
      </w:tr>
      <w:tr w:rsidR="00493A1B" w:rsidRPr="00027DF8" w14:paraId="0A12EEE9" w14:textId="77777777" w:rsidTr="004F6D54">
        <w:trPr>
          <w:trHeight w:val="507"/>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A1DA8FE" w14:textId="5137EF7C" w:rsidR="00493A1B" w:rsidRPr="00190230" w:rsidRDefault="00493A1B" w:rsidP="00493A1B">
            <w:pPr>
              <w:rPr>
                <w:rFonts w:ascii="Times New Roman" w:hAnsi="Times New Roman" w:cs="Times New Roman"/>
                <w:sz w:val="20"/>
                <w:szCs w:val="20"/>
                <w:lang w:val="en-US"/>
              </w:rPr>
            </w:pPr>
            <w:r w:rsidRPr="00190230">
              <w:rPr>
                <w:rFonts w:ascii="Times New Roman" w:hAnsi="Times New Roman" w:cs="Times New Roman"/>
                <w:sz w:val="20"/>
                <w:szCs w:val="20"/>
                <w:lang w:val="en-US"/>
              </w:rPr>
              <w:t>Currency swap operations on KASE</w:t>
            </w:r>
          </w:p>
        </w:tc>
        <w:tc>
          <w:tcPr>
            <w:tcW w:w="5245" w:type="dxa"/>
            <w:tcBorders>
              <w:top w:val="single" w:sz="4" w:space="0" w:color="auto"/>
              <w:left w:val="nil"/>
              <w:bottom w:val="single" w:sz="4" w:space="0" w:color="auto"/>
              <w:right w:val="single" w:sz="4" w:space="0" w:color="auto"/>
            </w:tcBorders>
            <w:shd w:val="clear" w:color="auto" w:fill="auto"/>
          </w:tcPr>
          <w:p w14:paraId="3EE8F52F" w14:textId="609D548C" w:rsidR="00493A1B" w:rsidRPr="00190230" w:rsidRDefault="00493A1B" w:rsidP="00493A1B">
            <w:pPr>
              <w:jc w:val="both"/>
              <w:rPr>
                <w:rFonts w:ascii="Times New Roman" w:hAnsi="Times New Roman" w:cs="Times New Roman"/>
                <w:sz w:val="20"/>
                <w:szCs w:val="20"/>
                <w:lang w:val="en-US"/>
              </w:rPr>
            </w:pPr>
            <w:r w:rsidRPr="00190230">
              <w:rPr>
                <w:rFonts w:ascii="Times New Roman" w:hAnsi="Times New Roman" w:cs="Times New Roman"/>
                <w:sz w:val="20"/>
                <w:szCs w:val="20"/>
                <w:lang w:val="en-US"/>
              </w:rPr>
              <w:t>0.05% of the transaction amount, not less than 1 MCI</w:t>
            </w:r>
          </w:p>
        </w:tc>
      </w:tr>
      <w:tr w:rsidR="00493A1B" w:rsidRPr="00027DF8" w14:paraId="4FCE2180" w14:textId="77777777" w:rsidTr="006A0EC0">
        <w:trPr>
          <w:trHeight w:val="507"/>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364042A" w14:textId="2FEF80E4" w:rsidR="00493A1B" w:rsidRPr="00190230" w:rsidRDefault="003E35DD" w:rsidP="00493A1B">
            <w:pPr>
              <w:rPr>
                <w:rFonts w:ascii="Times New Roman" w:hAnsi="Times New Roman" w:cs="Times New Roman"/>
                <w:sz w:val="20"/>
                <w:szCs w:val="20"/>
                <w:lang w:val="en-US"/>
              </w:rPr>
            </w:pPr>
            <w:r w:rsidRPr="00190230">
              <w:rPr>
                <w:rFonts w:ascii="Times New Roman" w:hAnsi="Times New Roman" w:cs="Times New Roman"/>
                <w:sz w:val="20"/>
                <w:szCs w:val="20"/>
                <w:lang w:val="en-US"/>
              </w:rPr>
              <w:t>Cash conversion on the over–the-counter market depends on the volume of the transaction</w:t>
            </w:r>
          </w:p>
        </w:tc>
        <w:tc>
          <w:tcPr>
            <w:tcW w:w="5245" w:type="dxa"/>
            <w:tcBorders>
              <w:top w:val="single" w:sz="4" w:space="0" w:color="auto"/>
              <w:left w:val="nil"/>
              <w:bottom w:val="single" w:sz="4" w:space="0" w:color="auto"/>
              <w:right w:val="single" w:sz="4" w:space="0" w:color="auto"/>
            </w:tcBorders>
            <w:shd w:val="clear" w:color="auto" w:fill="auto"/>
            <w:vAlign w:val="center"/>
          </w:tcPr>
          <w:p w14:paraId="7F00767A" w14:textId="4B95878D" w:rsidR="00493A1B" w:rsidRPr="00190230" w:rsidRDefault="003E35DD" w:rsidP="00493A1B">
            <w:pPr>
              <w:jc w:val="both"/>
              <w:rPr>
                <w:rFonts w:ascii="Times New Roman" w:hAnsi="Times New Roman" w:cs="Times New Roman"/>
                <w:sz w:val="20"/>
                <w:szCs w:val="20"/>
                <w:lang w:val="en-US"/>
              </w:rPr>
            </w:pPr>
            <w:r w:rsidRPr="00190230">
              <w:rPr>
                <w:rFonts w:ascii="Times New Roman" w:hAnsi="Times New Roman" w:cs="Times New Roman"/>
                <w:sz w:val="20"/>
                <w:szCs w:val="20"/>
                <w:lang w:val="en-US"/>
              </w:rPr>
              <w:t>0.1% of the transaction amount, not less than 5 MCI</w:t>
            </w:r>
          </w:p>
        </w:tc>
      </w:tr>
    </w:tbl>
    <w:p w14:paraId="31E81D04" w14:textId="77777777" w:rsidR="00BF1628" w:rsidRPr="00190230" w:rsidRDefault="00BF1628" w:rsidP="00BF1628">
      <w:pPr>
        <w:jc w:val="center"/>
        <w:rPr>
          <w:rFonts w:ascii="Times New Roman" w:hAnsi="Times New Roman" w:cs="Times New Roman"/>
          <w:color w:val="152C52"/>
          <w:sz w:val="20"/>
          <w:szCs w:val="20"/>
          <w:lang w:val="en-US"/>
        </w:rPr>
      </w:pPr>
    </w:p>
    <w:p w14:paraId="0B3084DA" w14:textId="77777777" w:rsidR="001766EF" w:rsidRPr="00190230" w:rsidRDefault="001766EF" w:rsidP="001766EF">
      <w:pPr>
        <w:spacing w:after="120" w:line="240" w:lineRule="auto"/>
        <w:ind w:left="-142"/>
        <w:jc w:val="both"/>
        <w:rPr>
          <w:rFonts w:ascii="Times New Roman" w:hAnsi="Times New Roman" w:cs="Times New Roman"/>
          <w:bCs/>
          <w:sz w:val="20"/>
          <w:szCs w:val="20"/>
        </w:rPr>
      </w:pPr>
      <w:r w:rsidRPr="00190230">
        <w:rPr>
          <w:rFonts w:ascii="Times New Roman" w:hAnsi="Times New Roman" w:cs="Times New Roman"/>
          <w:b/>
          <w:bCs/>
          <w:i/>
          <w:iCs/>
          <w:sz w:val="20"/>
          <w:szCs w:val="20"/>
          <w:u w:val="single"/>
        </w:rPr>
        <w:t>Notes</w:t>
      </w:r>
    </w:p>
    <w:p w14:paraId="1EC5AEA2" w14:textId="68F69658" w:rsidR="00BF1628" w:rsidRPr="00190230" w:rsidRDefault="006E69C2" w:rsidP="00BF1628">
      <w:pPr>
        <w:numPr>
          <w:ilvl w:val="0"/>
          <w:numId w:val="2"/>
        </w:numPr>
        <w:spacing w:after="120" w:line="240" w:lineRule="auto"/>
        <w:ind w:left="-142" w:hanging="357"/>
        <w:jc w:val="both"/>
        <w:rPr>
          <w:rFonts w:ascii="Times New Roman" w:hAnsi="Times New Roman" w:cs="Times New Roman"/>
          <w:bCs/>
          <w:sz w:val="20"/>
          <w:szCs w:val="20"/>
          <w:lang w:val="en-US"/>
        </w:rPr>
      </w:pPr>
      <w:r w:rsidRPr="00190230">
        <w:rPr>
          <w:rFonts w:ascii="Times New Roman" w:hAnsi="Times New Roman" w:cs="Times New Roman"/>
          <w:bCs/>
          <w:sz w:val="20"/>
          <w:szCs w:val="20"/>
          <w:lang w:val="en-US"/>
        </w:rPr>
        <w:t>The monthly calculation index (MCI) established by the Law of the Republic of Kazakhstan "On the Republican Budget" for the relevant calendar year is used in tariff calculations.</w:t>
      </w:r>
    </w:p>
    <w:p w14:paraId="20C94E60" w14:textId="13F1660D" w:rsidR="00BF1628" w:rsidRPr="00190230" w:rsidRDefault="006E69C2" w:rsidP="00BF1628">
      <w:pPr>
        <w:numPr>
          <w:ilvl w:val="0"/>
          <w:numId w:val="2"/>
        </w:numPr>
        <w:spacing w:after="120" w:line="240" w:lineRule="auto"/>
        <w:ind w:left="-142" w:hanging="357"/>
        <w:jc w:val="both"/>
        <w:rPr>
          <w:rFonts w:ascii="Times New Roman" w:hAnsi="Times New Roman" w:cs="Times New Roman"/>
          <w:bCs/>
          <w:sz w:val="20"/>
          <w:szCs w:val="20"/>
          <w:lang w:val="en-US"/>
        </w:rPr>
      </w:pPr>
      <w:r w:rsidRPr="00190230">
        <w:rPr>
          <w:rFonts w:ascii="Times New Roman" w:hAnsi="Times New Roman" w:cs="Times New Roman"/>
          <w:bCs/>
          <w:sz w:val="20"/>
          <w:szCs w:val="20"/>
          <w:lang w:val="en-US"/>
        </w:rPr>
        <w:t>The above rates and tariffs include the rates and tariffs of third parties who are professional market participants in transactions and custody of securities, namely: tariffs of Kazakhstan Stock Exchange JSC, Central Securities Depository JSC, custodian banks, second-tier banks, AIFC Stock Exchange, AIFC Depository, international brokers-intermediaries and other commissions included in the amount of transactions.</w:t>
      </w:r>
    </w:p>
    <w:p w14:paraId="65D08453" w14:textId="2788BA59" w:rsidR="00BF1628" w:rsidRPr="00190230" w:rsidRDefault="007724D0" w:rsidP="00BF1628">
      <w:pPr>
        <w:pStyle w:val="a7"/>
        <w:numPr>
          <w:ilvl w:val="0"/>
          <w:numId w:val="5"/>
        </w:numPr>
        <w:spacing w:after="120" w:line="240" w:lineRule="auto"/>
        <w:ind w:left="-142"/>
        <w:jc w:val="both"/>
        <w:rPr>
          <w:rFonts w:ascii="Times New Roman" w:hAnsi="Times New Roman" w:cs="Times New Roman"/>
          <w:bCs/>
          <w:sz w:val="20"/>
          <w:szCs w:val="20"/>
          <w:lang w:val="en-US"/>
        </w:rPr>
      </w:pPr>
      <w:r w:rsidRPr="00190230">
        <w:rPr>
          <w:rFonts w:ascii="Times New Roman" w:hAnsi="Times New Roman" w:cs="Times New Roman"/>
          <w:bCs/>
          <w:sz w:val="20"/>
          <w:szCs w:val="20"/>
          <w:lang w:val="en-US"/>
        </w:rPr>
        <w:t>The above rates do not include</w:t>
      </w:r>
      <w:r w:rsidR="00BF1628" w:rsidRPr="00190230">
        <w:rPr>
          <w:rFonts w:ascii="Times New Roman" w:hAnsi="Times New Roman" w:cs="Times New Roman"/>
          <w:bCs/>
          <w:sz w:val="20"/>
          <w:szCs w:val="20"/>
          <w:lang w:val="en-US"/>
        </w:rPr>
        <w:t>:</w:t>
      </w:r>
    </w:p>
    <w:p w14:paraId="0B7160FD" w14:textId="77777777" w:rsidR="00BF1628" w:rsidRPr="00190230" w:rsidRDefault="00BF1628" w:rsidP="00BF1628">
      <w:pPr>
        <w:pStyle w:val="a7"/>
        <w:spacing w:after="120"/>
        <w:ind w:left="-142"/>
        <w:jc w:val="both"/>
        <w:rPr>
          <w:rFonts w:ascii="Times New Roman" w:hAnsi="Times New Roman" w:cs="Times New Roman"/>
          <w:bCs/>
          <w:sz w:val="20"/>
          <w:szCs w:val="20"/>
          <w:lang w:val="en-US"/>
        </w:rPr>
      </w:pPr>
    </w:p>
    <w:p w14:paraId="4D77EA3E" w14:textId="465BD4DC" w:rsidR="00BF1628" w:rsidRPr="00190230" w:rsidRDefault="007724D0" w:rsidP="00BF1628">
      <w:pPr>
        <w:pStyle w:val="a7"/>
        <w:spacing w:after="120"/>
        <w:ind w:left="-142"/>
        <w:jc w:val="both"/>
        <w:rPr>
          <w:rFonts w:ascii="Times New Roman" w:hAnsi="Times New Roman" w:cs="Times New Roman"/>
          <w:bCs/>
          <w:sz w:val="20"/>
          <w:szCs w:val="20"/>
          <w:lang w:val="en-US"/>
        </w:rPr>
      </w:pPr>
      <w:r w:rsidRPr="00190230">
        <w:rPr>
          <w:rFonts w:ascii="Times New Roman" w:hAnsi="Times New Roman" w:cs="Times New Roman"/>
          <w:bCs/>
          <w:sz w:val="20"/>
          <w:szCs w:val="20"/>
          <w:lang w:val="en-US"/>
        </w:rPr>
        <w:t>Stamp Duty;</w:t>
      </w:r>
    </w:p>
    <w:p w14:paraId="3C54175E" w14:textId="77777777" w:rsidR="007724D0" w:rsidRPr="00190230" w:rsidRDefault="007724D0" w:rsidP="00BF1628">
      <w:pPr>
        <w:pStyle w:val="a7"/>
        <w:spacing w:after="120"/>
        <w:ind w:left="-142"/>
        <w:jc w:val="both"/>
        <w:rPr>
          <w:rFonts w:ascii="Times New Roman" w:hAnsi="Times New Roman" w:cs="Times New Roman"/>
          <w:bCs/>
          <w:sz w:val="20"/>
          <w:szCs w:val="20"/>
          <w:lang w:val="en-US"/>
        </w:rPr>
      </w:pPr>
    </w:p>
    <w:p w14:paraId="2DE1FE63" w14:textId="452E3059" w:rsidR="00BF1628" w:rsidRPr="00190230" w:rsidRDefault="00736840" w:rsidP="00BF1628">
      <w:pPr>
        <w:pStyle w:val="a7"/>
        <w:spacing w:after="120"/>
        <w:ind w:left="-142"/>
        <w:jc w:val="both"/>
        <w:rPr>
          <w:rFonts w:ascii="Times New Roman" w:hAnsi="Times New Roman" w:cs="Times New Roman"/>
          <w:bCs/>
          <w:sz w:val="20"/>
          <w:szCs w:val="20"/>
          <w:lang w:val="en-US"/>
        </w:rPr>
      </w:pPr>
      <w:r w:rsidRPr="00190230">
        <w:rPr>
          <w:rFonts w:ascii="Times New Roman" w:hAnsi="Times New Roman" w:cs="Times New Roman"/>
          <w:bCs/>
          <w:sz w:val="20"/>
          <w:szCs w:val="20"/>
          <w:lang w:val="en-US"/>
        </w:rPr>
        <w:t>The fee for submitting the W8-BEN form;</w:t>
      </w:r>
    </w:p>
    <w:p w14:paraId="0A055241" w14:textId="77777777" w:rsidR="00736840" w:rsidRPr="00190230" w:rsidRDefault="00736840" w:rsidP="00736840">
      <w:pPr>
        <w:spacing w:after="120" w:line="240" w:lineRule="auto"/>
        <w:ind w:left="-142"/>
        <w:jc w:val="both"/>
        <w:rPr>
          <w:rFonts w:ascii="Times New Roman" w:hAnsi="Times New Roman" w:cs="Times New Roman"/>
          <w:bCs/>
          <w:sz w:val="20"/>
          <w:szCs w:val="20"/>
          <w:lang w:val="en-US"/>
        </w:rPr>
      </w:pPr>
      <w:r w:rsidRPr="00190230">
        <w:rPr>
          <w:rFonts w:ascii="Times New Roman" w:hAnsi="Times New Roman" w:cs="Times New Roman"/>
          <w:bCs/>
          <w:sz w:val="20"/>
          <w:szCs w:val="20"/>
          <w:lang w:val="en-US"/>
        </w:rPr>
        <w:t>Other third-party commissions not provided for above.</w:t>
      </w:r>
    </w:p>
    <w:p w14:paraId="7010FE2E" w14:textId="3D662776" w:rsidR="00BF1628" w:rsidRPr="00190230" w:rsidRDefault="00FF5A1F" w:rsidP="00BF1628">
      <w:pPr>
        <w:numPr>
          <w:ilvl w:val="0"/>
          <w:numId w:val="2"/>
        </w:numPr>
        <w:spacing w:after="120" w:line="240" w:lineRule="auto"/>
        <w:ind w:left="-142" w:hanging="357"/>
        <w:jc w:val="both"/>
        <w:rPr>
          <w:rFonts w:ascii="Times New Roman" w:hAnsi="Times New Roman" w:cs="Times New Roman"/>
          <w:bCs/>
          <w:sz w:val="20"/>
          <w:szCs w:val="20"/>
          <w:lang w:val="en-US"/>
        </w:rPr>
      </w:pPr>
      <w:r w:rsidRPr="00190230">
        <w:rPr>
          <w:rFonts w:ascii="Times New Roman" w:hAnsi="Times New Roman" w:cs="Times New Roman"/>
          <w:bCs/>
          <w:sz w:val="20"/>
          <w:szCs w:val="20"/>
          <w:lang w:val="en-US"/>
        </w:rPr>
        <w:t>If the commissions of third parties exceed the above tariff, the Company has the right to additionally charge a commission for payment by the Client.</w:t>
      </w:r>
    </w:p>
    <w:p w14:paraId="56F41854" w14:textId="1473C701" w:rsidR="00BF1628" w:rsidRPr="00190230" w:rsidRDefault="00125BBA" w:rsidP="00BF1628">
      <w:pPr>
        <w:numPr>
          <w:ilvl w:val="0"/>
          <w:numId w:val="2"/>
        </w:numPr>
        <w:spacing w:after="120" w:line="240" w:lineRule="auto"/>
        <w:ind w:left="-142" w:hanging="357"/>
        <w:jc w:val="both"/>
        <w:rPr>
          <w:rFonts w:ascii="Times New Roman" w:hAnsi="Times New Roman" w:cs="Times New Roman"/>
          <w:bCs/>
          <w:sz w:val="20"/>
          <w:szCs w:val="20"/>
          <w:lang w:val="en-US"/>
        </w:rPr>
      </w:pPr>
      <w:r w:rsidRPr="00190230">
        <w:rPr>
          <w:rFonts w:ascii="Times New Roman" w:hAnsi="Times New Roman" w:cs="Times New Roman"/>
          <w:bCs/>
          <w:sz w:val="20"/>
          <w:szCs w:val="20"/>
          <w:lang w:val="en-US"/>
        </w:rPr>
        <w:t>Any duties, taxes and fees on transactions withheld in accordance with the laws of the country in which the transactions are carried out are not an obligation of the Company and must be paid by the Client.</w:t>
      </w:r>
    </w:p>
    <w:p w14:paraId="6D5644D3" w14:textId="4D642BCF" w:rsidR="00BF1628" w:rsidRPr="00190230" w:rsidRDefault="002B4535" w:rsidP="00BF1628">
      <w:pPr>
        <w:numPr>
          <w:ilvl w:val="0"/>
          <w:numId w:val="2"/>
        </w:numPr>
        <w:spacing w:after="120" w:line="240" w:lineRule="auto"/>
        <w:ind w:left="-142" w:hanging="357"/>
        <w:jc w:val="both"/>
        <w:rPr>
          <w:rFonts w:ascii="Times New Roman" w:hAnsi="Times New Roman" w:cs="Times New Roman"/>
          <w:bCs/>
          <w:sz w:val="20"/>
          <w:szCs w:val="20"/>
          <w:lang w:val="en-US"/>
        </w:rPr>
      </w:pPr>
      <w:r w:rsidRPr="00190230">
        <w:rPr>
          <w:rFonts w:ascii="Times New Roman" w:hAnsi="Times New Roman" w:cs="Times New Roman"/>
          <w:bCs/>
          <w:sz w:val="20"/>
          <w:szCs w:val="20"/>
          <w:lang w:val="en-US"/>
        </w:rPr>
        <w:lastRenderedPageBreak/>
        <w:t>The Company's remuneration for transactions is calculated from the total volume of the executed part of the client's order. So, if two or more transactions are concluded for one order, the commissions are calculated from the total amount of transactions concluded for this order.</w:t>
      </w:r>
    </w:p>
    <w:p w14:paraId="219B4B97" w14:textId="3FA86D4C" w:rsidR="00BF1628" w:rsidRPr="00190230" w:rsidRDefault="002B4535" w:rsidP="00BF1628">
      <w:pPr>
        <w:numPr>
          <w:ilvl w:val="0"/>
          <w:numId w:val="2"/>
        </w:numPr>
        <w:spacing w:after="120" w:line="240" w:lineRule="auto"/>
        <w:ind w:left="-142" w:hanging="357"/>
        <w:jc w:val="both"/>
        <w:rPr>
          <w:rFonts w:ascii="Times New Roman" w:hAnsi="Times New Roman" w:cs="Times New Roman"/>
          <w:bCs/>
          <w:sz w:val="20"/>
          <w:szCs w:val="20"/>
          <w:lang w:val="en-US"/>
        </w:rPr>
      </w:pPr>
      <w:r w:rsidRPr="00190230">
        <w:rPr>
          <w:rFonts w:ascii="Times New Roman" w:hAnsi="Times New Roman" w:cs="Times New Roman"/>
          <w:sz w:val="20"/>
          <w:szCs w:val="20"/>
          <w:lang w:val="en-US"/>
        </w:rPr>
        <w:t>The Company's remuneration for the storage of financial instruments is calculated at the official exchange rate of the National Bank of the Republic of Kazakhstan on the date of remuneration accrual. For debt securities, the commission is calculated as a percentage set by the tariffs of the nominal value of securities, for equity instruments at market value, and in the absence of market value, the nominal value is applied.</w:t>
      </w:r>
      <w:r w:rsidR="00BF1628" w:rsidRPr="00190230">
        <w:rPr>
          <w:rFonts w:ascii="Times New Roman" w:hAnsi="Times New Roman" w:cs="Times New Roman"/>
          <w:sz w:val="20"/>
          <w:szCs w:val="20"/>
          <w:lang w:val="en-US"/>
        </w:rPr>
        <w:t xml:space="preserve"> </w:t>
      </w:r>
    </w:p>
    <w:p w14:paraId="5DAF99EC" w14:textId="44E6D21A" w:rsidR="00BF1628" w:rsidRPr="00190230" w:rsidRDefault="007F14A8" w:rsidP="00BF1628">
      <w:pPr>
        <w:numPr>
          <w:ilvl w:val="0"/>
          <w:numId w:val="2"/>
        </w:numPr>
        <w:spacing w:after="120" w:line="240" w:lineRule="auto"/>
        <w:ind w:left="-142" w:hanging="357"/>
        <w:jc w:val="both"/>
        <w:rPr>
          <w:rFonts w:ascii="Times New Roman" w:hAnsi="Times New Roman" w:cs="Times New Roman"/>
          <w:bCs/>
          <w:sz w:val="20"/>
          <w:szCs w:val="20"/>
          <w:lang w:val="en-US"/>
        </w:rPr>
      </w:pPr>
      <w:r w:rsidRPr="00190230">
        <w:rPr>
          <w:rFonts w:ascii="Times New Roman" w:hAnsi="Times New Roman" w:cs="Times New Roman"/>
          <w:bCs/>
          <w:sz w:val="20"/>
          <w:szCs w:val="20"/>
          <w:lang w:val="en-US"/>
        </w:rPr>
        <w:t>The Company shall debit the Client's obligations to pay commissions from the Client's account in a non-acceptance manner.</w:t>
      </w:r>
    </w:p>
    <w:p w14:paraId="34B0EA2C" w14:textId="2A566488" w:rsidR="00BF1628" w:rsidRPr="00190230" w:rsidRDefault="00D20BC1" w:rsidP="00BF1628">
      <w:pPr>
        <w:numPr>
          <w:ilvl w:val="0"/>
          <w:numId w:val="2"/>
        </w:numPr>
        <w:spacing w:after="120" w:line="240" w:lineRule="auto"/>
        <w:ind w:left="-142" w:hanging="357"/>
        <w:jc w:val="both"/>
        <w:rPr>
          <w:rFonts w:ascii="Times New Roman" w:hAnsi="Times New Roman" w:cs="Times New Roman"/>
          <w:bCs/>
          <w:sz w:val="20"/>
          <w:szCs w:val="20"/>
          <w:lang w:val="en-US"/>
        </w:rPr>
      </w:pPr>
      <w:r w:rsidRPr="00190230">
        <w:rPr>
          <w:rFonts w:ascii="Times New Roman" w:hAnsi="Times New Roman" w:cs="Times New Roman"/>
          <w:bCs/>
          <w:sz w:val="20"/>
          <w:szCs w:val="20"/>
          <w:lang w:val="en-US"/>
        </w:rPr>
        <w:t>The Company is unilaterally entitled to convert money from foreign currency into national currency in an amount sufficient to cover the obligations to pay the Company's commission at the exchange rate of the servicing bank on the day of the conversion.</w:t>
      </w:r>
    </w:p>
    <w:p w14:paraId="021461FF" w14:textId="77777777" w:rsidR="00BF1628" w:rsidRPr="00190230" w:rsidRDefault="00BF1628" w:rsidP="00BF1628">
      <w:pPr>
        <w:tabs>
          <w:tab w:val="num" w:pos="567"/>
        </w:tabs>
        <w:ind w:left="-142"/>
        <w:jc w:val="right"/>
        <w:rPr>
          <w:rFonts w:ascii="Times New Roman" w:hAnsi="Times New Roman" w:cs="Times New Roman"/>
          <w:sz w:val="20"/>
          <w:szCs w:val="20"/>
          <w:lang w:val="en-US"/>
        </w:rPr>
      </w:pPr>
    </w:p>
    <w:p w14:paraId="4DD8F3BC" w14:textId="77777777" w:rsidR="00027DF8" w:rsidRPr="00161779" w:rsidRDefault="00027DF8" w:rsidP="00027DF8">
      <w:pPr>
        <w:jc w:val="right"/>
        <w:rPr>
          <w:sz w:val="20"/>
          <w:szCs w:val="20"/>
          <w:lang w:val="en-US"/>
        </w:rPr>
      </w:pPr>
      <w:r>
        <w:rPr>
          <w:rFonts w:ascii="Times New Roman" w:hAnsi="Times New Roman" w:cs="Times New Roman"/>
          <w:sz w:val="20"/>
          <w:szCs w:val="20"/>
          <w:lang w:val="en-US"/>
        </w:rPr>
        <w:br w:type="column"/>
      </w:r>
      <w:r w:rsidRPr="00161779">
        <w:rPr>
          <w:sz w:val="20"/>
          <w:szCs w:val="20"/>
          <w:lang w:val="en-US"/>
        </w:rPr>
        <w:lastRenderedPageBreak/>
        <w:t xml:space="preserve">Appendix No. 4 </w:t>
      </w:r>
    </w:p>
    <w:p w14:paraId="170B6005" w14:textId="77777777" w:rsidR="00027DF8" w:rsidRPr="00161779" w:rsidRDefault="00027DF8" w:rsidP="00027DF8">
      <w:pPr>
        <w:jc w:val="right"/>
        <w:rPr>
          <w:sz w:val="20"/>
          <w:szCs w:val="20"/>
          <w:lang w:val="en-US"/>
        </w:rPr>
      </w:pPr>
      <w:r w:rsidRPr="00161779">
        <w:rPr>
          <w:sz w:val="20"/>
          <w:szCs w:val="20"/>
          <w:lang w:val="en-US"/>
        </w:rPr>
        <w:t xml:space="preserve">to No. 3 protocol of the Tariff Committee </w:t>
      </w:r>
    </w:p>
    <w:p w14:paraId="2A6F68CC" w14:textId="77777777" w:rsidR="00027DF8" w:rsidRPr="00161779" w:rsidRDefault="00027DF8" w:rsidP="00027DF8">
      <w:pPr>
        <w:jc w:val="right"/>
        <w:rPr>
          <w:sz w:val="20"/>
          <w:szCs w:val="20"/>
          <w:lang w:val="en-US"/>
        </w:rPr>
      </w:pPr>
      <w:proofErr w:type="spellStart"/>
      <w:r w:rsidRPr="00161779">
        <w:rPr>
          <w:sz w:val="20"/>
          <w:szCs w:val="20"/>
          <w:lang w:val="en-US"/>
        </w:rPr>
        <w:t>SkyBridge</w:t>
      </w:r>
      <w:proofErr w:type="spellEnd"/>
      <w:r w:rsidRPr="00161779">
        <w:rPr>
          <w:sz w:val="20"/>
          <w:szCs w:val="20"/>
          <w:lang w:val="en-US"/>
        </w:rPr>
        <w:t xml:space="preserve"> Invest JSC </w:t>
      </w:r>
    </w:p>
    <w:p w14:paraId="0F1430CE" w14:textId="77777777" w:rsidR="00027DF8" w:rsidRPr="00161779" w:rsidRDefault="00027DF8" w:rsidP="00027DF8">
      <w:pPr>
        <w:jc w:val="right"/>
        <w:rPr>
          <w:sz w:val="20"/>
          <w:szCs w:val="20"/>
          <w:lang w:val="en-US"/>
        </w:rPr>
      </w:pPr>
      <w:r w:rsidRPr="00161779">
        <w:rPr>
          <w:sz w:val="20"/>
          <w:szCs w:val="20"/>
          <w:lang w:val="en-US"/>
        </w:rPr>
        <w:t>dated April 15, 2025</w:t>
      </w:r>
    </w:p>
    <w:p w14:paraId="14A10862" w14:textId="77777777" w:rsidR="00027DF8" w:rsidRPr="00DA6265" w:rsidRDefault="00027DF8" w:rsidP="00027DF8">
      <w:pPr>
        <w:jc w:val="right"/>
        <w:rPr>
          <w:b/>
          <w:bCs/>
          <w:lang w:val="en-US"/>
        </w:rPr>
      </w:pPr>
    </w:p>
    <w:p w14:paraId="00CB5E43" w14:textId="77777777" w:rsidR="00027DF8" w:rsidRPr="006C3229" w:rsidRDefault="00027DF8" w:rsidP="00027DF8">
      <w:pPr>
        <w:jc w:val="center"/>
        <w:rPr>
          <w:rFonts w:eastAsiaTheme="minorEastAsia"/>
          <w:b/>
          <w:bCs/>
          <w:lang w:val="en-US"/>
        </w:rPr>
      </w:pPr>
      <w:r w:rsidRPr="0070576F">
        <w:rPr>
          <w:rFonts w:eastAsiaTheme="minorEastAsia"/>
          <w:b/>
          <w:bCs/>
          <w:lang w:val="en-US"/>
        </w:rPr>
        <w:t xml:space="preserve">Tariffs of </w:t>
      </w:r>
      <w:proofErr w:type="spellStart"/>
      <w:r w:rsidRPr="0070576F">
        <w:rPr>
          <w:rFonts w:eastAsiaTheme="minorEastAsia"/>
          <w:b/>
          <w:bCs/>
          <w:lang w:val="en-US"/>
        </w:rPr>
        <w:t>SkyBridge</w:t>
      </w:r>
      <w:proofErr w:type="spellEnd"/>
      <w:r w:rsidRPr="0070576F">
        <w:rPr>
          <w:rFonts w:eastAsiaTheme="minorEastAsia"/>
          <w:b/>
          <w:bCs/>
          <w:lang w:val="en-US"/>
        </w:rPr>
        <w:t xml:space="preserve"> Invest JSC for non-resident individuals for the provision of brokerage and nominal holding services</w:t>
      </w:r>
    </w:p>
    <w:p w14:paraId="14EBEED5" w14:textId="77777777" w:rsidR="00027DF8" w:rsidRPr="006C3229" w:rsidRDefault="00027DF8" w:rsidP="00027DF8">
      <w:pPr>
        <w:jc w:val="center"/>
        <w:rPr>
          <w:rFonts w:eastAsiaTheme="minorEastAsia"/>
          <w:b/>
          <w:bCs/>
          <w:lang w:val="en-US"/>
        </w:rPr>
      </w:pPr>
    </w:p>
    <w:tbl>
      <w:tblPr>
        <w:tblW w:w="10169" w:type="dxa"/>
        <w:tblInd w:w="-577" w:type="dxa"/>
        <w:tblLook w:val="04A0" w:firstRow="1" w:lastRow="0" w:firstColumn="1" w:lastColumn="0" w:noHBand="0" w:noVBand="1"/>
      </w:tblPr>
      <w:tblGrid>
        <w:gridCol w:w="4962"/>
        <w:gridCol w:w="5207"/>
      </w:tblGrid>
      <w:tr w:rsidR="00027DF8" w:rsidRPr="00027DF8" w14:paraId="0092409B" w14:textId="77777777" w:rsidTr="00173144">
        <w:trPr>
          <w:trHeight w:val="750"/>
          <w:tblHeader/>
        </w:trPr>
        <w:tc>
          <w:tcPr>
            <w:tcW w:w="4962" w:type="dxa"/>
            <w:tcBorders>
              <w:top w:val="single" w:sz="8" w:space="0" w:color="auto"/>
              <w:left w:val="single" w:sz="8" w:space="0" w:color="auto"/>
              <w:bottom w:val="single" w:sz="4" w:space="0" w:color="auto"/>
              <w:right w:val="single" w:sz="4" w:space="0" w:color="auto"/>
            </w:tcBorders>
            <w:shd w:val="clear" w:color="000000" w:fill="BFBFBF"/>
            <w:vAlign w:val="center"/>
            <w:hideMark/>
          </w:tcPr>
          <w:p w14:paraId="3A362797" w14:textId="77777777" w:rsidR="00027DF8" w:rsidRPr="00792919" w:rsidRDefault="00027DF8" w:rsidP="00173144">
            <w:pPr>
              <w:jc w:val="center"/>
              <w:rPr>
                <w:b/>
                <w:sz w:val="20"/>
                <w:szCs w:val="20"/>
                <w:lang w:val="en-US"/>
              </w:rPr>
            </w:pPr>
            <w:r>
              <w:rPr>
                <w:b/>
                <w:sz w:val="20"/>
                <w:szCs w:val="20"/>
                <w:lang w:val="en-US"/>
              </w:rPr>
              <w:t>Type of operation</w:t>
            </w:r>
          </w:p>
        </w:tc>
        <w:tc>
          <w:tcPr>
            <w:tcW w:w="5207" w:type="dxa"/>
            <w:tcBorders>
              <w:top w:val="single" w:sz="8" w:space="0" w:color="auto"/>
              <w:left w:val="nil"/>
              <w:bottom w:val="single" w:sz="4" w:space="0" w:color="auto"/>
              <w:right w:val="single" w:sz="4" w:space="0" w:color="auto"/>
            </w:tcBorders>
            <w:shd w:val="clear" w:color="000000" w:fill="BFBFBF"/>
            <w:vAlign w:val="center"/>
            <w:hideMark/>
          </w:tcPr>
          <w:p w14:paraId="4A999266" w14:textId="77777777" w:rsidR="00027DF8" w:rsidRPr="00F2035D" w:rsidRDefault="00027DF8" w:rsidP="00173144">
            <w:pPr>
              <w:jc w:val="center"/>
              <w:rPr>
                <w:b/>
                <w:bCs/>
                <w:sz w:val="20"/>
                <w:szCs w:val="20"/>
                <w:lang w:val="en-US"/>
              </w:rPr>
            </w:pPr>
            <w:r>
              <w:rPr>
                <w:b/>
                <w:bCs/>
                <w:sz w:val="20"/>
                <w:szCs w:val="20"/>
                <w:lang w:val="en-US"/>
              </w:rPr>
              <w:t>Fee</w:t>
            </w:r>
            <w:r w:rsidRPr="00F2035D">
              <w:rPr>
                <w:b/>
                <w:bCs/>
                <w:sz w:val="20"/>
                <w:szCs w:val="20"/>
                <w:lang w:val="en-US"/>
              </w:rPr>
              <w:t xml:space="preserve"> for non–resident individuals of the Republic of Kazakhstan</w:t>
            </w:r>
          </w:p>
        </w:tc>
      </w:tr>
      <w:tr w:rsidR="00027DF8" w:rsidRPr="00FF3231" w14:paraId="75F0A6EB" w14:textId="77777777" w:rsidTr="00173144">
        <w:trPr>
          <w:trHeight w:val="424"/>
        </w:trPr>
        <w:tc>
          <w:tcPr>
            <w:tcW w:w="10169" w:type="dxa"/>
            <w:gridSpan w:val="2"/>
            <w:tcBorders>
              <w:top w:val="single" w:sz="8" w:space="0" w:color="auto"/>
              <w:left w:val="single" w:sz="8" w:space="0" w:color="auto"/>
              <w:bottom w:val="single" w:sz="4" w:space="0" w:color="auto"/>
              <w:right w:val="single" w:sz="4" w:space="0" w:color="auto"/>
            </w:tcBorders>
            <w:shd w:val="clear" w:color="auto" w:fill="0070C0"/>
            <w:vAlign w:val="center"/>
          </w:tcPr>
          <w:p w14:paraId="05C51CDB" w14:textId="77777777" w:rsidR="00027DF8" w:rsidRPr="00FF3231" w:rsidRDefault="00027DF8" w:rsidP="00173144">
            <w:pPr>
              <w:jc w:val="center"/>
              <w:rPr>
                <w:b/>
                <w:bCs/>
                <w:sz w:val="20"/>
                <w:szCs w:val="20"/>
              </w:rPr>
            </w:pPr>
            <w:proofErr w:type="spellStart"/>
            <w:r w:rsidRPr="007943C7">
              <w:rPr>
                <w:b/>
                <w:color w:val="FFFFFF"/>
                <w:sz w:val="20"/>
                <w:szCs w:val="20"/>
              </w:rPr>
              <w:t>Nominal</w:t>
            </w:r>
            <w:proofErr w:type="spellEnd"/>
            <w:r w:rsidRPr="007943C7">
              <w:rPr>
                <w:b/>
                <w:color w:val="FFFFFF"/>
                <w:sz w:val="20"/>
                <w:szCs w:val="20"/>
              </w:rPr>
              <w:t xml:space="preserve"> </w:t>
            </w:r>
            <w:proofErr w:type="spellStart"/>
            <w:r w:rsidRPr="007943C7">
              <w:rPr>
                <w:b/>
                <w:color w:val="FFFFFF"/>
                <w:sz w:val="20"/>
                <w:szCs w:val="20"/>
              </w:rPr>
              <w:t>holding</w:t>
            </w:r>
            <w:proofErr w:type="spellEnd"/>
            <w:r w:rsidRPr="007943C7">
              <w:rPr>
                <w:b/>
                <w:color w:val="FFFFFF"/>
                <w:sz w:val="20"/>
                <w:szCs w:val="20"/>
              </w:rPr>
              <w:t xml:space="preserve"> </w:t>
            </w:r>
            <w:proofErr w:type="spellStart"/>
            <w:r w:rsidRPr="007943C7">
              <w:rPr>
                <w:b/>
                <w:color w:val="FFFFFF"/>
                <w:sz w:val="20"/>
                <w:szCs w:val="20"/>
              </w:rPr>
              <w:t>services</w:t>
            </w:r>
            <w:proofErr w:type="spellEnd"/>
          </w:p>
        </w:tc>
      </w:tr>
      <w:tr w:rsidR="00027DF8" w:rsidRPr="00FF3231" w14:paraId="5FB44AD4" w14:textId="77777777" w:rsidTr="00173144">
        <w:trPr>
          <w:trHeight w:val="510"/>
        </w:trPr>
        <w:tc>
          <w:tcPr>
            <w:tcW w:w="4962" w:type="dxa"/>
            <w:tcBorders>
              <w:top w:val="nil"/>
              <w:left w:val="single" w:sz="8" w:space="0" w:color="auto"/>
              <w:bottom w:val="single" w:sz="4" w:space="0" w:color="auto"/>
              <w:right w:val="single" w:sz="4" w:space="0" w:color="auto"/>
            </w:tcBorders>
            <w:vAlign w:val="center"/>
            <w:hideMark/>
          </w:tcPr>
          <w:p w14:paraId="2C4074E6" w14:textId="77777777" w:rsidR="00027DF8" w:rsidRPr="007943C7" w:rsidRDefault="00027DF8" w:rsidP="00173144">
            <w:pPr>
              <w:rPr>
                <w:sz w:val="20"/>
                <w:szCs w:val="20"/>
                <w:lang w:val="en-US"/>
              </w:rPr>
            </w:pPr>
            <w:r w:rsidRPr="007943C7">
              <w:rPr>
                <w:sz w:val="20"/>
                <w:szCs w:val="20"/>
                <w:lang w:val="en-US"/>
              </w:rPr>
              <w:t>Opening /maintaining/closing a personal account</w:t>
            </w:r>
          </w:p>
        </w:tc>
        <w:tc>
          <w:tcPr>
            <w:tcW w:w="5207" w:type="dxa"/>
            <w:tcBorders>
              <w:top w:val="nil"/>
              <w:left w:val="nil"/>
              <w:bottom w:val="single" w:sz="4" w:space="0" w:color="auto"/>
              <w:right w:val="single" w:sz="4" w:space="0" w:color="auto"/>
            </w:tcBorders>
            <w:vAlign w:val="center"/>
            <w:hideMark/>
          </w:tcPr>
          <w:p w14:paraId="3FD168F5" w14:textId="77777777" w:rsidR="00027DF8" w:rsidRPr="007943C7" w:rsidRDefault="00027DF8" w:rsidP="00173144">
            <w:pPr>
              <w:rPr>
                <w:sz w:val="20"/>
                <w:szCs w:val="20"/>
                <w:lang w:val="en-US"/>
              </w:rPr>
            </w:pPr>
            <w:r>
              <w:rPr>
                <w:sz w:val="20"/>
                <w:szCs w:val="20"/>
                <w:lang w:val="en-US"/>
              </w:rPr>
              <w:t>Free</w:t>
            </w:r>
          </w:p>
        </w:tc>
      </w:tr>
      <w:tr w:rsidR="00027DF8" w:rsidRPr="00027DF8" w14:paraId="6CAED874" w14:textId="77777777" w:rsidTr="00173144">
        <w:trPr>
          <w:trHeight w:val="317"/>
        </w:trPr>
        <w:tc>
          <w:tcPr>
            <w:tcW w:w="4962" w:type="dxa"/>
            <w:tcBorders>
              <w:top w:val="nil"/>
              <w:left w:val="single" w:sz="8" w:space="0" w:color="auto"/>
              <w:bottom w:val="single" w:sz="4" w:space="0" w:color="auto"/>
              <w:right w:val="single" w:sz="4" w:space="0" w:color="auto"/>
            </w:tcBorders>
            <w:vAlign w:val="center"/>
            <w:hideMark/>
          </w:tcPr>
          <w:p w14:paraId="22A7A054" w14:textId="77777777" w:rsidR="00027DF8" w:rsidRPr="00112B86" w:rsidRDefault="00027DF8" w:rsidP="00173144">
            <w:pPr>
              <w:rPr>
                <w:sz w:val="20"/>
                <w:szCs w:val="20"/>
                <w:lang w:val="en-US"/>
              </w:rPr>
            </w:pPr>
            <w:r w:rsidRPr="00112B86">
              <w:rPr>
                <w:sz w:val="20"/>
                <w:szCs w:val="20"/>
                <w:lang w:val="en-US"/>
              </w:rPr>
              <w:t>Input/output from nominal holding of financial instruments</w:t>
            </w:r>
          </w:p>
        </w:tc>
        <w:tc>
          <w:tcPr>
            <w:tcW w:w="5207" w:type="dxa"/>
            <w:tcBorders>
              <w:top w:val="nil"/>
              <w:left w:val="nil"/>
              <w:bottom w:val="single" w:sz="4" w:space="0" w:color="auto"/>
              <w:right w:val="single" w:sz="4" w:space="0" w:color="auto"/>
            </w:tcBorders>
            <w:vAlign w:val="center"/>
            <w:hideMark/>
          </w:tcPr>
          <w:p w14:paraId="13BE6CEB" w14:textId="77777777" w:rsidR="00027DF8" w:rsidRPr="00112B86" w:rsidRDefault="00027DF8" w:rsidP="00027DF8">
            <w:pPr>
              <w:numPr>
                <w:ilvl w:val="0"/>
                <w:numId w:val="1"/>
              </w:numPr>
              <w:spacing w:after="120" w:line="240" w:lineRule="auto"/>
              <w:ind w:left="227" w:hanging="227"/>
              <w:rPr>
                <w:sz w:val="20"/>
                <w:szCs w:val="20"/>
                <w:lang w:val="en-US"/>
              </w:rPr>
            </w:pPr>
            <w:r w:rsidRPr="00112B86">
              <w:rPr>
                <w:sz w:val="20"/>
                <w:szCs w:val="20"/>
                <w:lang w:val="en-US"/>
              </w:rPr>
              <w:t>Input of any type of financial instrument – 0.05% of the market value* of securities, not less than 100 USD</w:t>
            </w:r>
            <w:r>
              <w:rPr>
                <w:sz w:val="20"/>
                <w:szCs w:val="20"/>
                <w:lang w:val="en-US"/>
              </w:rPr>
              <w:t>;</w:t>
            </w:r>
            <w:r w:rsidRPr="00112B86">
              <w:rPr>
                <w:sz w:val="20"/>
                <w:szCs w:val="20"/>
                <w:lang w:val="en-US"/>
              </w:rPr>
              <w:t xml:space="preserve"> </w:t>
            </w:r>
          </w:p>
          <w:p w14:paraId="0B6521E8" w14:textId="77777777" w:rsidR="00027DF8" w:rsidRPr="008C1E2D" w:rsidRDefault="00027DF8" w:rsidP="00027DF8">
            <w:pPr>
              <w:numPr>
                <w:ilvl w:val="0"/>
                <w:numId w:val="1"/>
              </w:numPr>
              <w:spacing w:after="120" w:line="240" w:lineRule="auto"/>
              <w:ind w:left="227" w:hanging="227"/>
              <w:rPr>
                <w:sz w:val="20"/>
                <w:szCs w:val="20"/>
                <w:lang w:val="en-US"/>
              </w:rPr>
            </w:pPr>
            <w:r w:rsidRPr="008C1E2D">
              <w:rPr>
                <w:sz w:val="20"/>
                <w:szCs w:val="20"/>
                <w:lang w:val="en-US"/>
              </w:rPr>
              <w:t>Withdrawal of any type of financial instrument – 0.05% of the market value* of securities, at least 100 USD</w:t>
            </w:r>
            <w:r>
              <w:rPr>
                <w:sz w:val="20"/>
                <w:szCs w:val="20"/>
                <w:lang w:val="en-US"/>
              </w:rPr>
              <w:t>;</w:t>
            </w:r>
            <w:r w:rsidRPr="008C1E2D">
              <w:rPr>
                <w:sz w:val="20"/>
                <w:szCs w:val="20"/>
                <w:lang w:val="en-US"/>
              </w:rPr>
              <w:t xml:space="preserve"> </w:t>
            </w:r>
          </w:p>
          <w:p w14:paraId="41D26D0A" w14:textId="77777777" w:rsidR="00027DF8" w:rsidRPr="008C1E2D" w:rsidRDefault="00027DF8" w:rsidP="00027DF8">
            <w:pPr>
              <w:numPr>
                <w:ilvl w:val="0"/>
                <w:numId w:val="1"/>
              </w:numPr>
              <w:spacing w:after="0" w:line="240" w:lineRule="auto"/>
              <w:ind w:left="227" w:hanging="227"/>
              <w:rPr>
                <w:sz w:val="20"/>
                <w:szCs w:val="20"/>
                <w:lang w:val="en-US"/>
              </w:rPr>
            </w:pPr>
            <w:r w:rsidRPr="008C1E2D">
              <w:rPr>
                <w:sz w:val="20"/>
                <w:szCs w:val="20"/>
                <w:lang w:val="en-US"/>
              </w:rPr>
              <w:t>Withdrawal of funds (for each transfer operation) – 0.35%, not less than 50 USD, but not more than 500 USD</w:t>
            </w:r>
            <w:r>
              <w:rPr>
                <w:sz w:val="20"/>
                <w:szCs w:val="20"/>
                <w:lang w:val="en-US"/>
              </w:rPr>
              <w:t>.</w:t>
            </w:r>
          </w:p>
          <w:p w14:paraId="40ADF578" w14:textId="77777777" w:rsidR="00027DF8" w:rsidRPr="003B3572" w:rsidRDefault="00027DF8" w:rsidP="00173144">
            <w:pPr>
              <w:ind w:left="6"/>
              <w:rPr>
                <w:sz w:val="20"/>
                <w:szCs w:val="20"/>
                <w:lang w:val="en-US"/>
              </w:rPr>
            </w:pPr>
            <w:r w:rsidRPr="003B3572">
              <w:rPr>
                <w:b/>
                <w:bCs/>
                <w:i/>
                <w:iCs/>
                <w:lang w:val="en-US"/>
              </w:rPr>
              <w:t>*</w:t>
            </w:r>
            <w:r w:rsidRPr="003B3572">
              <w:rPr>
                <w:i/>
                <w:iCs/>
                <w:sz w:val="20"/>
                <w:szCs w:val="20"/>
                <w:lang w:val="en-US"/>
              </w:rPr>
              <w:t>If there is no market value, a fixed tariff is applied,</w:t>
            </w:r>
            <w:r>
              <w:rPr>
                <w:i/>
                <w:iCs/>
                <w:sz w:val="20"/>
                <w:szCs w:val="20"/>
                <w:lang w:val="en-US"/>
              </w:rPr>
              <w:t xml:space="preserve"> </w:t>
            </w:r>
            <w:r w:rsidRPr="003B3572">
              <w:rPr>
                <w:i/>
                <w:iCs/>
                <w:sz w:val="20"/>
                <w:szCs w:val="20"/>
                <w:lang w:val="en-US"/>
              </w:rPr>
              <w:t>determined by agreement of the parties.</w:t>
            </w:r>
          </w:p>
        </w:tc>
      </w:tr>
      <w:tr w:rsidR="00027DF8" w:rsidRPr="00027DF8" w14:paraId="57AA791D" w14:textId="77777777" w:rsidTr="00173144">
        <w:trPr>
          <w:trHeight w:val="1036"/>
        </w:trPr>
        <w:tc>
          <w:tcPr>
            <w:tcW w:w="4962" w:type="dxa"/>
            <w:tcBorders>
              <w:top w:val="nil"/>
              <w:left w:val="single" w:sz="8" w:space="0" w:color="auto"/>
              <w:bottom w:val="single" w:sz="4" w:space="0" w:color="auto"/>
              <w:right w:val="single" w:sz="4" w:space="0" w:color="auto"/>
            </w:tcBorders>
            <w:vAlign w:val="center"/>
          </w:tcPr>
          <w:p w14:paraId="0AB2CE82" w14:textId="77777777" w:rsidR="00027DF8" w:rsidRPr="00447337" w:rsidRDefault="00027DF8" w:rsidP="00173144">
            <w:pPr>
              <w:rPr>
                <w:sz w:val="20"/>
                <w:szCs w:val="20"/>
                <w:lang w:val="en-US"/>
              </w:rPr>
            </w:pPr>
            <w:r w:rsidRPr="00447337">
              <w:rPr>
                <w:sz w:val="20"/>
                <w:szCs w:val="20"/>
                <w:lang w:val="en-US"/>
              </w:rPr>
              <w:t>Transfer of funds in foreign currency within their accounts opened in third-party organizations</w:t>
            </w:r>
          </w:p>
        </w:tc>
        <w:tc>
          <w:tcPr>
            <w:tcW w:w="5207" w:type="dxa"/>
            <w:tcBorders>
              <w:top w:val="nil"/>
              <w:left w:val="nil"/>
              <w:bottom w:val="single" w:sz="4" w:space="0" w:color="auto"/>
              <w:right w:val="single" w:sz="4" w:space="0" w:color="auto"/>
            </w:tcBorders>
            <w:vAlign w:val="center"/>
          </w:tcPr>
          <w:p w14:paraId="08A90827" w14:textId="77777777" w:rsidR="00027DF8" w:rsidRPr="00447337" w:rsidRDefault="00027DF8" w:rsidP="00173144">
            <w:pPr>
              <w:rPr>
                <w:sz w:val="20"/>
                <w:szCs w:val="20"/>
                <w:lang w:val="en-US"/>
              </w:rPr>
            </w:pPr>
            <w:r w:rsidRPr="00447337">
              <w:rPr>
                <w:sz w:val="20"/>
                <w:szCs w:val="20"/>
                <w:lang w:val="en-US"/>
              </w:rPr>
              <w:t>0.35%, not less than 50 USD, but not more than 500 USD</w:t>
            </w:r>
          </w:p>
        </w:tc>
      </w:tr>
      <w:tr w:rsidR="00027DF8" w:rsidRPr="00FF3231" w14:paraId="349C44A0" w14:textId="77777777" w:rsidTr="00173144">
        <w:trPr>
          <w:trHeight w:val="1036"/>
        </w:trPr>
        <w:tc>
          <w:tcPr>
            <w:tcW w:w="4962" w:type="dxa"/>
            <w:tcBorders>
              <w:top w:val="nil"/>
              <w:left w:val="single" w:sz="8" w:space="0" w:color="auto"/>
              <w:bottom w:val="single" w:sz="4" w:space="0" w:color="auto"/>
              <w:right w:val="single" w:sz="4" w:space="0" w:color="auto"/>
            </w:tcBorders>
            <w:vAlign w:val="center"/>
            <w:hideMark/>
          </w:tcPr>
          <w:p w14:paraId="41F5292C" w14:textId="77777777" w:rsidR="00027DF8" w:rsidRPr="00447337" w:rsidRDefault="00027DF8" w:rsidP="00173144">
            <w:pPr>
              <w:rPr>
                <w:sz w:val="20"/>
                <w:szCs w:val="20"/>
                <w:lang w:val="en-US"/>
              </w:rPr>
            </w:pPr>
            <w:r w:rsidRPr="00447337">
              <w:rPr>
                <w:sz w:val="20"/>
                <w:szCs w:val="20"/>
                <w:lang w:val="en-US"/>
              </w:rPr>
              <w:t>Provision of regular reports - once a month (personal account statement as of the end of the month, personal account history report for the reporting month and other reports in accordance with the legislation of the Republic of Kazakhstan)</w:t>
            </w:r>
          </w:p>
        </w:tc>
        <w:tc>
          <w:tcPr>
            <w:tcW w:w="5207" w:type="dxa"/>
            <w:tcBorders>
              <w:top w:val="nil"/>
              <w:left w:val="nil"/>
              <w:bottom w:val="single" w:sz="4" w:space="0" w:color="auto"/>
              <w:right w:val="single" w:sz="4" w:space="0" w:color="auto"/>
            </w:tcBorders>
            <w:vAlign w:val="center"/>
            <w:hideMark/>
          </w:tcPr>
          <w:p w14:paraId="75395C71" w14:textId="77777777" w:rsidR="00027DF8" w:rsidRPr="00FF3231" w:rsidRDefault="00027DF8" w:rsidP="00173144">
            <w:pPr>
              <w:rPr>
                <w:sz w:val="20"/>
                <w:szCs w:val="20"/>
                <w:lang w:val="en-US"/>
              </w:rPr>
            </w:pPr>
            <w:r>
              <w:rPr>
                <w:sz w:val="20"/>
                <w:szCs w:val="20"/>
                <w:lang w:val="en-US"/>
              </w:rPr>
              <w:t>Free</w:t>
            </w:r>
          </w:p>
        </w:tc>
      </w:tr>
      <w:tr w:rsidR="00027DF8" w:rsidRPr="00FF3231" w14:paraId="51589886" w14:textId="77777777" w:rsidTr="00173144">
        <w:trPr>
          <w:trHeight w:val="615"/>
        </w:trPr>
        <w:tc>
          <w:tcPr>
            <w:tcW w:w="4962" w:type="dxa"/>
            <w:tcBorders>
              <w:top w:val="nil"/>
              <w:left w:val="single" w:sz="8" w:space="0" w:color="auto"/>
              <w:bottom w:val="single" w:sz="4" w:space="0" w:color="auto"/>
              <w:right w:val="single" w:sz="4" w:space="0" w:color="auto"/>
            </w:tcBorders>
            <w:vAlign w:val="center"/>
            <w:hideMark/>
          </w:tcPr>
          <w:p w14:paraId="6A01856A" w14:textId="77777777" w:rsidR="00027DF8" w:rsidRPr="00573299" w:rsidRDefault="00027DF8" w:rsidP="00173144">
            <w:pPr>
              <w:rPr>
                <w:sz w:val="20"/>
                <w:szCs w:val="20"/>
                <w:lang w:val="en-US"/>
              </w:rPr>
            </w:pPr>
            <w:r w:rsidRPr="00573299">
              <w:rPr>
                <w:sz w:val="20"/>
                <w:szCs w:val="20"/>
                <w:lang w:val="en-US"/>
              </w:rPr>
              <w:t>Providing customer reports on request - per report</w:t>
            </w:r>
          </w:p>
        </w:tc>
        <w:tc>
          <w:tcPr>
            <w:tcW w:w="5207" w:type="dxa"/>
            <w:tcBorders>
              <w:top w:val="nil"/>
              <w:left w:val="nil"/>
              <w:bottom w:val="single" w:sz="4" w:space="0" w:color="auto"/>
              <w:right w:val="single" w:sz="4" w:space="0" w:color="auto"/>
            </w:tcBorders>
            <w:vAlign w:val="center"/>
            <w:hideMark/>
          </w:tcPr>
          <w:p w14:paraId="576824CC" w14:textId="77777777" w:rsidR="00027DF8" w:rsidRPr="00FF3231" w:rsidRDefault="00027DF8" w:rsidP="00173144">
            <w:pPr>
              <w:rPr>
                <w:sz w:val="20"/>
                <w:szCs w:val="20"/>
                <w:lang w:val="en-US"/>
              </w:rPr>
            </w:pPr>
            <w:r w:rsidRPr="00FF3231">
              <w:rPr>
                <w:sz w:val="20"/>
                <w:szCs w:val="20"/>
                <w:lang w:val="en-US"/>
              </w:rPr>
              <w:t>20 USD</w:t>
            </w:r>
          </w:p>
        </w:tc>
      </w:tr>
      <w:tr w:rsidR="00027DF8" w:rsidRPr="00027DF8" w14:paraId="23ED55DB" w14:textId="77777777" w:rsidTr="00173144">
        <w:trPr>
          <w:trHeight w:val="793"/>
        </w:trPr>
        <w:tc>
          <w:tcPr>
            <w:tcW w:w="4962" w:type="dxa"/>
            <w:tcBorders>
              <w:top w:val="nil"/>
              <w:left w:val="single" w:sz="8" w:space="0" w:color="auto"/>
              <w:bottom w:val="single" w:sz="4" w:space="0" w:color="auto"/>
              <w:right w:val="single" w:sz="4" w:space="0" w:color="auto"/>
            </w:tcBorders>
            <w:vAlign w:val="center"/>
            <w:hideMark/>
          </w:tcPr>
          <w:p w14:paraId="4EE03488" w14:textId="77777777" w:rsidR="00027DF8" w:rsidRPr="00573299" w:rsidRDefault="00027DF8" w:rsidP="00173144">
            <w:pPr>
              <w:rPr>
                <w:sz w:val="20"/>
                <w:szCs w:val="20"/>
                <w:lang w:val="en-US"/>
              </w:rPr>
            </w:pPr>
            <w:r w:rsidRPr="00573299">
              <w:rPr>
                <w:sz w:val="20"/>
                <w:szCs w:val="20"/>
                <w:lang w:val="en-US"/>
              </w:rPr>
              <w:t>Conversion of a financial instrument (conversion from a depository receipt to shares, from shares to depository receipts)</w:t>
            </w:r>
          </w:p>
        </w:tc>
        <w:tc>
          <w:tcPr>
            <w:tcW w:w="5207" w:type="dxa"/>
            <w:tcBorders>
              <w:top w:val="nil"/>
              <w:left w:val="nil"/>
              <w:bottom w:val="single" w:sz="4" w:space="0" w:color="auto"/>
              <w:right w:val="single" w:sz="4" w:space="0" w:color="auto"/>
            </w:tcBorders>
            <w:vAlign w:val="center"/>
            <w:hideMark/>
          </w:tcPr>
          <w:p w14:paraId="0A4C15CF" w14:textId="77777777" w:rsidR="00027DF8" w:rsidRPr="00573299" w:rsidRDefault="00027DF8" w:rsidP="00173144">
            <w:pPr>
              <w:rPr>
                <w:sz w:val="20"/>
                <w:szCs w:val="20"/>
                <w:lang w:val="en-US"/>
              </w:rPr>
            </w:pPr>
            <w:r w:rsidRPr="00573299">
              <w:rPr>
                <w:sz w:val="20"/>
                <w:szCs w:val="20"/>
                <w:lang w:val="en-US"/>
              </w:rPr>
              <w:t>1.5 cents per 1 depository receipt, at least 70 USD + commission in accordance with the Issuer's Depository Agreement</w:t>
            </w:r>
          </w:p>
        </w:tc>
      </w:tr>
      <w:tr w:rsidR="00027DF8" w:rsidRPr="00027DF8" w14:paraId="554229A3" w14:textId="77777777" w:rsidTr="00173144">
        <w:trPr>
          <w:trHeight w:val="421"/>
        </w:trPr>
        <w:tc>
          <w:tcPr>
            <w:tcW w:w="4962" w:type="dxa"/>
            <w:tcBorders>
              <w:top w:val="nil"/>
              <w:left w:val="single" w:sz="8" w:space="0" w:color="auto"/>
              <w:bottom w:val="single" w:sz="4" w:space="0" w:color="auto"/>
              <w:right w:val="single" w:sz="4" w:space="0" w:color="auto"/>
            </w:tcBorders>
            <w:vAlign w:val="center"/>
            <w:hideMark/>
          </w:tcPr>
          <w:p w14:paraId="63037A1D" w14:textId="77777777" w:rsidR="00027DF8" w:rsidRPr="00FF3231" w:rsidRDefault="00027DF8" w:rsidP="00173144">
            <w:pPr>
              <w:rPr>
                <w:sz w:val="20"/>
                <w:szCs w:val="20"/>
              </w:rPr>
            </w:pPr>
            <w:proofErr w:type="spellStart"/>
            <w:r w:rsidRPr="00FD21A6">
              <w:rPr>
                <w:sz w:val="20"/>
                <w:szCs w:val="20"/>
              </w:rPr>
              <w:t>Registration</w:t>
            </w:r>
            <w:proofErr w:type="spellEnd"/>
            <w:r w:rsidRPr="00FD21A6">
              <w:rPr>
                <w:sz w:val="20"/>
                <w:szCs w:val="20"/>
              </w:rPr>
              <w:t xml:space="preserve"> </w:t>
            </w:r>
            <w:proofErr w:type="spellStart"/>
            <w:r w:rsidRPr="00FD21A6">
              <w:rPr>
                <w:sz w:val="20"/>
                <w:szCs w:val="20"/>
              </w:rPr>
              <w:t>of</w:t>
            </w:r>
            <w:proofErr w:type="spellEnd"/>
            <w:r w:rsidRPr="00FD21A6">
              <w:rPr>
                <w:sz w:val="20"/>
                <w:szCs w:val="20"/>
              </w:rPr>
              <w:t xml:space="preserve"> </w:t>
            </w:r>
            <w:proofErr w:type="spellStart"/>
            <w:r w:rsidRPr="00FD21A6">
              <w:rPr>
                <w:sz w:val="20"/>
                <w:szCs w:val="20"/>
              </w:rPr>
              <w:t>encumbrances</w:t>
            </w:r>
            <w:proofErr w:type="spellEnd"/>
            <w:r w:rsidRPr="00FD21A6">
              <w:rPr>
                <w:sz w:val="20"/>
                <w:szCs w:val="20"/>
              </w:rPr>
              <w:t>/</w:t>
            </w:r>
            <w:proofErr w:type="spellStart"/>
            <w:r w:rsidRPr="00FD21A6">
              <w:rPr>
                <w:sz w:val="20"/>
                <w:szCs w:val="20"/>
              </w:rPr>
              <w:t>collateral</w:t>
            </w:r>
            <w:proofErr w:type="spellEnd"/>
          </w:p>
        </w:tc>
        <w:tc>
          <w:tcPr>
            <w:tcW w:w="5207" w:type="dxa"/>
            <w:tcBorders>
              <w:top w:val="nil"/>
              <w:left w:val="nil"/>
              <w:bottom w:val="single" w:sz="4" w:space="0" w:color="auto"/>
              <w:right w:val="single" w:sz="4" w:space="0" w:color="auto"/>
            </w:tcBorders>
            <w:vAlign w:val="center"/>
            <w:hideMark/>
          </w:tcPr>
          <w:p w14:paraId="17709649" w14:textId="77777777" w:rsidR="00027DF8" w:rsidRPr="00FD21A6" w:rsidRDefault="00027DF8" w:rsidP="00173144">
            <w:pPr>
              <w:rPr>
                <w:sz w:val="20"/>
                <w:szCs w:val="20"/>
                <w:lang w:val="en-US"/>
              </w:rPr>
            </w:pPr>
            <w:r w:rsidRPr="00FD21A6">
              <w:rPr>
                <w:sz w:val="20"/>
                <w:szCs w:val="20"/>
                <w:lang w:val="en-US"/>
              </w:rPr>
              <w:t>0.2% of the transaction amount, at least 200 USD</w:t>
            </w:r>
          </w:p>
        </w:tc>
      </w:tr>
      <w:tr w:rsidR="00027DF8" w:rsidRPr="00027DF8" w14:paraId="749C1243" w14:textId="77777777" w:rsidTr="00173144">
        <w:trPr>
          <w:trHeight w:val="602"/>
        </w:trPr>
        <w:tc>
          <w:tcPr>
            <w:tcW w:w="4962" w:type="dxa"/>
            <w:tcBorders>
              <w:top w:val="nil"/>
              <w:left w:val="single" w:sz="8" w:space="0" w:color="auto"/>
              <w:bottom w:val="single" w:sz="4" w:space="0" w:color="auto"/>
              <w:right w:val="single" w:sz="4" w:space="0" w:color="auto"/>
            </w:tcBorders>
            <w:vAlign w:val="center"/>
            <w:hideMark/>
          </w:tcPr>
          <w:p w14:paraId="6644381E" w14:textId="77777777" w:rsidR="00027DF8" w:rsidRPr="00FD21A6" w:rsidRDefault="00027DF8" w:rsidP="00173144">
            <w:pPr>
              <w:rPr>
                <w:sz w:val="20"/>
                <w:szCs w:val="20"/>
                <w:lang w:val="en-US"/>
              </w:rPr>
            </w:pPr>
            <w:r w:rsidRPr="00FD21A6">
              <w:rPr>
                <w:sz w:val="20"/>
                <w:szCs w:val="20"/>
                <w:lang w:val="en-US"/>
              </w:rPr>
              <w:t>Dematerialization of a financial instrument</w:t>
            </w:r>
          </w:p>
        </w:tc>
        <w:tc>
          <w:tcPr>
            <w:tcW w:w="5207" w:type="dxa"/>
            <w:tcBorders>
              <w:top w:val="nil"/>
              <w:left w:val="nil"/>
              <w:bottom w:val="single" w:sz="4" w:space="0" w:color="auto"/>
              <w:right w:val="single" w:sz="4" w:space="0" w:color="auto"/>
            </w:tcBorders>
            <w:vAlign w:val="center"/>
            <w:hideMark/>
          </w:tcPr>
          <w:p w14:paraId="6229B1EF" w14:textId="77777777" w:rsidR="00027DF8" w:rsidRPr="00162883" w:rsidRDefault="00027DF8" w:rsidP="00173144">
            <w:pPr>
              <w:rPr>
                <w:sz w:val="20"/>
                <w:szCs w:val="20"/>
                <w:lang w:val="en-US"/>
              </w:rPr>
            </w:pPr>
            <w:r w:rsidRPr="00162883">
              <w:rPr>
                <w:sz w:val="20"/>
                <w:szCs w:val="20"/>
                <w:lang w:val="en-US"/>
              </w:rPr>
              <w:t>0.02% of the market value of the financial instrument, at least USD 200</w:t>
            </w:r>
          </w:p>
        </w:tc>
      </w:tr>
      <w:tr w:rsidR="00027DF8" w:rsidRPr="00FF3231" w14:paraId="22A9F9C6" w14:textId="77777777" w:rsidTr="00173144">
        <w:trPr>
          <w:trHeight w:val="627"/>
        </w:trPr>
        <w:tc>
          <w:tcPr>
            <w:tcW w:w="4962" w:type="dxa"/>
            <w:tcBorders>
              <w:top w:val="nil"/>
              <w:left w:val="single" w:sz="8" w:space="0" w:color="auto"/>
              <w:bottom w:val="single" w:sz="4" w:space="0" w:color="auto"/>
              <w:right w:val="single" w:sz="4" w:space="0" w:color="auto"/>
            </w:tcBorders>
            <w:vAlign w:val="center"/>
            <w:hideMark/>
          </w:tcPr>
          <w:p w14:paraId="22757885" w14:textId="77777777" w:rsidR="00027DF8" w:rsidRPr="00C84C71" w:rsidRDefault="00027DF8" w:rsidP="00173144">
            <w:pPr>
              <w:rPr>
                <w:sz w:val="20"/>
                <w:szCs w:val="20"/>
                <w:lang w:val="en-US"/>
              </w:rPr>
            </w:pPr>
            <w:r w:rsidRPr="00C84C71">
              <w:rPr>
                <w:sz w:val="20"/>
                <w:szCs w:val="20"/>
                <w:lang w:val="en-US"/>
              </w:rPr>
              <w:t>Proxy voting on corporate actions</w:t>
            </w:r>
          </w:p>
        </w:tc>
        <w:tc>
          <w:tcPr>
            <w:tcW w:w="5207" w:type="dxa"/>
            <w:tcBorders>
              <w:top w:val="nil"/>
              <w:left w:val="nil"/>
              <w:bottom w:val="single" w:sz="4" w:space="0" w:color="auto"/>
              <w:right w:val="single" w:sz="4" w:space="0" w:color="auto"/>
            </w:tcBorders>
            <w:vAlign w:val="center"/>
            <w:hideMark/>
          </w:tcPr>
          <w:p w14:paraId="0F9D5A9D" w14:textId="77777777" w:rsidR="00027DF8" w:rsidRPr="00FF3231" w:rsidRDefault="00027DF8" w:rsidP="00173144">
            <w:pPr>
              <w:rPr>
                <w:sz w:val="20"/>
                <w:szCs w:val="20"/>
                <w:lang w:val="en-US"/>
              </w:rPr>
            </w:pPr>
            <w:r w:rsidRPr="00FF3231">
              <w:rPr>
                <w:sz w:val="20"/>
                <w:szCs w:val="20"/>
                <w:lang w:val="en-US"/>
              </w:rPr>
              <w:t>70 USD</w:t>
            </w:r>
          </w:p>
        </w:tc>
      </w:tr>
      <w:tr w:rsidR="00027DF8" w:rsidRPr="00FF3231" w14:paraId="2001A633" w14:textId="77777777" w:rsidTr="00173144">
        <w:trPr>
          <w:trHeight w:val="627"/>
        </w:trPr>
        <w:tc>
          <w:tcPr>
            <w:tcW w:w="4962" w:type="dxa"/>
            <w:tcBorders>
              <w:top w:val="nil"/>
              <w:left w:val="single" w:sz="8" w:space="0" w:color="auto"/>
              <w:bottom w:val="single" w:sz="4" w:space="0" w:color="auto"/>
              <w:right w:val="single" w:sz="4" w:space="0" w:color="auto"/>
            </w:tcBorders>
            <w:vAlign w:val="center"/>
          </w:tcPr>
          <w:p w14:paraId="6DDFF85E" w14:textId="77777777" w:rsidR="00027DF8" w:rsidRPr="00C84C71" w:rsidRDefault="00027DF8" w:rsidP="00173144">
            <w:pPr>
              <w:rPr>
                <w:sz w:val="20"/>
                <w:szCs w:val="20"/>
                <w:lang w:val="en-US"/>
              </w:rPr>
            </w:pPr>
            <w:r w:rsidRPr="00C84C71">
              <w:rPr>
                <w:sz w:val="20"/>
                <w:szCs w:val="20"/>
                <w:lang w:val="en-US"/>
              </w:rPr>
              <w:t>Securities storage in Central Securities Depository JSC / AIX CSD - from the volume of assets</w:t>
            </w:r>
          </w:p>
        </w:tc>
        <w:tc>
          <w:tcPr>
            <w:tcW w:w="5207" w:type="dxa"/>
            <w:tcBorders>
              <w:top w:val="nil"/>
              <w:left w:val="nil"/>
              <w:bottom w:val="single" w:sz="4" w:space="0" w:color="auto"/>
              <w:right w:val="single" w:sz="4" w:space="0" w:color="auto"/>
            </w:tcBorders>
            <w:vAlign w:val="center"/>
          </w:tcPr>
          <w:p w14:paraId="44482D60" w14:textId="77777777" w:rsidR="00027DF8" w:rsidRPr="00FF3231" w:rsidRDefault="00027DF8" w:rsidP="00173144">
            <w:pPr>
              <w:rPr>
                <w:sz w:val="20"/>
                <w:szCs w:val="20"/>
                <w:lang w:val="en-US"/>
              </w:rPr>
            </w:pPr>
            <w:r w:rsidRPr="006F7169">
              <w:rPr>
                <w:sz w:val="20"/>
                <w:szCs w:val="20"/>
              </w:rPr>
              <w:t xml:space="preserve">0.06% </w:t>
            </w:r>
            <w:proofErr w:type="spellStart"/>
            <w:r w:rsidRPr="006F7169">
              <w:rPr>
                <w:sz w:val="20"/>
                <w:szCs w:val="20"/>
              </w:rPr>
              <w:t>per</w:t>
            </w:r>
            <w:proofErr w:type="spellEnd"/>
            <w:r w:rsidRPr="006F7169">
              <w:rPr>
                <w:sz w:val="20"/>
                <w:szCs w:val="20"/>
              </w:rPr>
              <w:t xml:space="preserve"> </w:t>
            </w:r>
            <w:proofErr w:type="spellStart"/>
            <w:r w:rsidRPr="006F7169">
              <w:rPr>
                <w:sz w:val="20"/>
                <w:szCs w:val="20"/>
              </w:rPr>
              <w:t>annum</w:t>
            </w:r>
            <w:proofErr w:type="spellEnd"/>
          </w:p>
        </w:tc>
      </w:tr>
      <w:tr w:rsidR="00027DF8" w:rsidRPr="00FF3231" w14:paraId="02960CDD" w14:textId="77777777" w:rsidTr="00173144">
        <w:trPr>
          <w:trHeight w:val="627"/>
        </w:trPr>
        <w:tc>
          <w:tcPr>
            <w:tcW w:w="4962" w:type="dxa"/>
            <w:tcBorders>
              <w:top w:val="nil"/>
              <w:left w:val="single" w:sz="8" w:space="0" w:color="auto"/>
              <w:bottom w:val="single" w:sz="4" w:space="0" w:color="auto"/>
              <w:right w:val="single" w:sz="4" w:space="0" w:color="auto"/>
            </w:tcBorders>
            <w:vAlign w:val="center"/>
          </w:tcPr>
          <w:p w14:paraId="7A51C2B3" w14:textId="77777777" w:rsidR="00027DF8" w:rsidRPr="00792919" w:rsidRDefault="00027DF8" w:rsidP="00173144">
            <w:pPr>
              <w:rPr>
                <w:sz w:val="20"/>
                <w:szCs w:val="20"/>
                <w:lang w:val="en-US"/>
              </w:rPr>
            </w:pPr>
            <w:r w:rsidRPr="00792919">
              <w:rPr>
                <w:sz w:val="20"/>
                <w:szCs w:val="20"/>
                <w:lang w:val="en-US"/>
              </w:rPr>
              <w:lastRenderedPageBreak/>
              <w:t>Securities storage in local custodian banks - based on the volume of assets</w:t>
            </w:r>
          </w:p>
        </w:tc>
        <w:tc>
          <w:tcPr>
            <w:tcW w:w="5207" w:type="dxa"/>
            <w:tcBorders>
              <w:top w:val="nil"/>
              <w:left w:val="nil"/>
              <w:bottom w:val="single" w:sz="4" w:space="0" w:color="auto"/>
              <w:right w:val="single" w:sz="4" w:space="0" w:color="auto"/>
            </w:tcBorders>
            <w:vAlign w:val="center"/>
          </w:tcPr>
          <w:p w14:paraId="2DA73481" w14:textId="77777777" w:rsidR="00027DF8" w:rsidRPr="00FF3231" w:rsidRDefault="00027DF8" w:rsidP="00173144">
            <w:pPr>
              <w:rPr>
                <w:sz w:val="20"/>
                <w:szCs w:val="20"/>
                <w:lang w:val="en-US"/>
              </w:rPr>
            </w:pPr>
            <w:r>
              <w:rPr>
                <w:sz w:val="20"/>
                <w:szCs w:val="20"/>
              </w:rPr>
              <w:t xml:space="preserve">0,3% </w:t>
            </w:r>
            <w:proofErr w:type="spellStart"/>
            <w:r w:rsidRPr="006F7169">
              <w:rPr>
                <w:sz w:val="20"/>
                <w:szCs w:val="20"/>
              </w:rPr>
              <w:t>per</w:t>
            </w:r>
            <w:proofErr w:type="spellEnd"/>
            <w:r w:rsidRPr="006F7169">
              <w:rPr>
                <w:sz w:val="20"/>
                <w:szCs w:val="20"/>
              </w:rPr>
              <w:t xml:space="preserve"> </w:t>
            </w:r>
            <w:proofErr w:type="spellStart"/>
            <w:r w:rsidRPr="006F7169">
              <w:rPr>
                <w:sz w:val="20"/>
                <w:szCs w:val="20"/>
              </w:rPr>
              <w:t>annum</w:t>
            </w:r>
            <w:proofErr w:type="spellEnd"/>
          </w:p>
        </w:tc>
      </w:tr>
      <w:tr w:rsidR="00027DF8" w:rsidRPr="00FF3231" w14:paraId="7AD3E04D" w14:textId="77777777" w:rsidTr="00173144">
        <w:trPr>
          <w:trHeight w:val="627"/>
        </w:trPr>
        <w:tc>
          <w:tcPr>
            <w:tcW w:w="4962" w:type="dxa"/>
            <w:tcBorders>
              <w:top w:val="nil"/>
              <w:left w:val="single" w:sz="8" w:space="0" w:color="auto"/>
              <w:bottom w:val="single" w:sz="4" w:space="0" w:color="auto"/>
              <w:right w:val="single" w:sz="4" w:space="0" w:color="auto"/>
            </w:tcBorders>
            <w:vAlign w:val="center"/>
          </w:tcPr>
          <w:p w14:paraId="51781F26" w14:textId="77777777" w:rsidR="00027DF8" w:rsidRPr="00792919" w:rsidRDefault="00027DF8" w:rsidP="00173144">
            <w:pPr>
              <w:rPr>
                <w:sz w:val="20"/>
                <w:szCs w:val="20"/>
                <w:lang w:val="en-US"/>
              </w:rPr>
            </w:pPr>
            <w:r w:rsidRPr="00792919">
              <w:rPr>
                <w:sz w:val="20"/>
                <w:szCs w:val="20"/>
                <w:lang w:val="en-US"/>
              </w:rPr>
              <w:t>Storage of securities in foreign custodians – based on the volume of assets</w:t>
            </w:r>
          </w:p>
        </w:tc>
        <w:tc>
          <w:tcPr>
            <w:tcW w:w="5207" w:type="dxa"/>
            <w:tcBorders>
              <w:top w:val="nil"/>
              <w:left w:val="nil"/>
              <w:bottom w:val="single" w:sz="4" w:space="0" w:color="auto"/>
              <w:right w:val="single" w:sz="4" w:space="0" w:color="auto"/>
            </w:tcBorders>
            <w:vAlign w:val="center"/>
          </w:tcPr>
          <w:p w14:paraId="084FDCBC" w14:textId="77777777" w:rsidR="00027DF8" w:rsidRDefault="00027DF8" w:rsidP="00173144">
            <w:pPr>
              <w:rPr>
                <w:sz w:val="20"/>
                <w:szCs w:val="20"/>
              </w:rPr>
            </w:pPr>
            <w:r>
              <w:rPr>
                <w:sz w:val="20"/>
                <w:szCs w:val="20"/>
              </w:rPr>
              <w:t>0</w:t>
            </w:r>
            <w:r>
              <w:rPr>
                <w:sz w:val="20"/>
                <w:szCs w:val="20"/>
                <w:lang w:val="en-US"/>
              </w:rPr>
              <w:t>.</w:t>
            </w:r>
            <w:r>
              <w:rPr>
                <w:sz w:val="20"/>
                <w:szCs w:val="20"/>
              </w:rPr>
              <w:t xml:space="preserve">2% </w:t>
            </w:r>
            <w:proofErr w:type="spellStart"/>
            <w:r w:rsidRPr="006F7169">
              <w:rPr>
                <w:sz w:val="20"/>
                <w:szCs w:val="20"/>
              </w:rPr>
              <w:t>per</w:t>
            </w:r>
            <w:proofErr w:type="spellEnd"/>
            <w:r w:rsidRPr="006F7169">
              <w:rPr>
                <w:sz w:val="20"/>
                <w:szCs w:val="20"/>
              </w:rPr>
              <w:t xml:space="preserve"> </w:t>
            </w:r>
            <w:proofErr w:type="spellStart"/>
            <w:r w:rsidRPr="006F7169">
              <w:rPr>
                <w:sz w:val="20"/>
                <w:szCs w:val="20"/>
              </w:rPr>
              <w:t>annum</w:t>
            </w:r>
            <w:proofErr w:type="spellEnd"/>
          </w:p>
        </w:tc>
      </w:tr>
      <w:tr w:rsidR="00027DF8" w:rsidRPr="00FF3231" w14:paraId="11A80F61" w14:textId="77777777" w:rsidTr="00173144">
        <w:trPr>
          <w:trHeight w:val="423"/>
        </w:trPr>
        <w:tc>
          <w:tcPr>
            <w:tcW w:w="10169" w:type="dxa"/>
            <w:gridSpan w:val="2"/>
            <w:tcBorders>
              <w:top w:val="nil"/>
              <w:left w:val="single" w:sz="8" w:space="0" w:color="auto"/>
              <w:bottom w:val="single" w:sz="4" w:space="0" w:color="auto"/>
              <w:right w:val="single" w:sz="4" w:space="0" w:color="auto"/>
            </w:tcBorders>
            <w:shd w:val="clear" w:color="auto" w:fill="0070C0"/>
            <w:vAlign w:val="center"/>
          </w:tcPr>
          <w:p w14:paraId="2D50D92B" w14:textId="77777777" w:rsidR="00027DF8" w:rsidRPr="00792919" w:rsidRDefault="00027DF8" w:rsidP="00173144">
            <w:pPr>
              <w:jc w:val="center"/>
              <w:rPr>
                <w:sz w:val="20"/>
                <w:szCs w:val="20"/>
                <w:lang w:val="en-US"/>
              </w:rPr>
            </w:pPr>
            <w:r>
              <w:rPr>
                <w:b/>
                <w:color w:val="FFFFFF"/>
                <w:sz w:val="20"/>
                <w:szCs w:val="20"/>
                <w:lang w:val="en-US"/>
              </w:rPr>
              <w:t>Brokerage services</w:t>
            </w:r>
          </w:p>
        </w:tc>
      </w:tr>
      <w:tr w:rsidR="00027DF8" w:rsidRPr="00FF3231" w14:paraId="611C9FBF" w14:textId="77777777" w:rsidTr="00173144">
        <w:trPr>
          <w:trHeight w:val="862"/>
        </w:trPr>
        <w:tc>
          <w:tcPr>
            <w:tcW w:w="4962" w:type="dxa"/>
            <w:tcBorders>
              <w:top w:val="nil"/>
              <w:left w:val="single" w:sz="8" w:space="0" w:color="auto"/>
              <w:bottom w:val="single" w:sz="4" w:space="0" w:color="auto"/>
              <w:right w:val="single" w:sz="4" w:space="0" w:color="auto"/>
            </w:tcBorders>
            <w:vAlign w:val="center"/>
            <w:hideMark/>
          </w:tcPr>
          <w:p w14:paraId="7762BE06" w14:textId="77777777" w:rsidR="00027DF8" w:rsidRPr="0002336E" w:rsidRDefault="00027DF8" w:rsidP="00173144">
            <w:pPr>
              <w:rPr>
                <w:sz w:val="20"/>
                <w:szCs w:val="20"/>
                <w:lang w:val="en-US"/>
              </w:rPr>
            </w:pPr>
            <w:r w:rsidRPr="0002336E">
              <w:rPr>
                <w:sz w:val="20"/>
                <w:szCs w:val="20"/>
                <w:lang w:val="en-US"/>
              </w:rPr>
              <w:t>Purchase/sale of financial instruments on KASE and AIX - from the transaction amount</w:t>
            </w:r>
          </w:p>
        </w:tc>
        <w:tc>
          <w:tcPr>
            <w:tcW w:w="5207" w:type="dxa"/>
            <w:tcBorders>
              <w:top w:val="nil"/>
              <w:left w:val="nil"/>
              <w:bottom w:val="single" w:sz="4" w:space="0" w:color="auto"/>
              <w:right w:val="single" w:sz="4" w:space="0" w:color="auto"/>
            </w:tcBorders>
            <w:vAlign w:val="center"/>
            <w:hideMark/>
          </w:tcPr>
          <w:p w14:paraId="2220D874" w14:textId="77777777" w:rsidR="00027DF8" w:rsidRPr="00FF3231" w:rsidRDefault="00027DF8" w:rsidP="00173144">
            <w:pPr>
              <w:spacing w:before="120"/>
              <w:rPr>
                <w:sz w:val="20"/>
                <w:szCs w:val="20"/>
              </w:rPr>
            </w:pPr>
            <w:r w:rsidRPr="0002336E">
              <w:rPr>
                <w:sz w:val="20"/>
                <w:szCs w:val="20"/>
              </w:rPr>
              <w:t xml:space="preserve">0.3%, </w:t>
            </w:r>
            <w:proofErr w:type="spellStart"/>
            <w:r w:rsidRPr="0002336E">
              <w:rPr>
                <w:sz w:val="20"/>
                <w:szCs w:val="20"/>
              </w:rPr>
              <w:t>at</w:t>
            </w:r>
            <w:proofErr w:type="spellEnd"/>
            <w:r w:rsidRPr="0002336E">
              <w:rPr>
                <w:sz w:val="20"/>
                <w:szCs w:val="20"/>
              </w:rPr>
              <w:t xml:space="preserve"> </w:t>
            </w:r>
            <w:proofErr w:type="spellStart"/>
            <w:r w:rsidRPr="0002336E">
              <w:rPr>
                <w:sz w:val="20"/>
                <w:szCs w:val="20"/>
              </w:rPr>
              <w:t>least</w:t>
            </w:r>
            <w:proofErr w:type="spellEnd"/>
            <w:r w:rsidRPr="0002336E">
              <w:rPr>
                <w:sz w:val="20"/>
                <w:szCs w:val="20"/>
              </w:rPr>
              <w:t xml:space="preserve"> 10 USD</w:t>
            </w:r>
          </w:p>
        </w:tc>
      </w:tr>
      <w:tr w:rsidR="00027DF8" w:rsidRPr="00FF3231" w14:paraId="49BD40C1" w14:textId="77777777" w:rsidTr="00173144">
        <w:trPr>
          <w:trHeight w:val="637"/>
        </w:trPr>
        <w:tc>
          <w:tcPr>
            <w:tcW w:w="4962" w:type="dxa"/>
            <w:tcBorders>
              <w:top w:val="nil"/>
              <w:left w:val="single" w:sz="8" w:space="0" w:color="auto"/>
              <w:bottom w:val="single" w:sz="4" w:space="0" w:color="auto"/>
              <w:right w:val="single" w:sz="4" w:space="0" w:color="auto"/>
            </w:tcBorders>
            <w:vAlign w:val="center"/>
          </w:tcPr>
          <w:p w14:paraId="222958C7" w14:textId="77777777" w:rsidR="00027DF8" w:rsidRPr="0002336E" w:rsidRDefault="00027DF8" w:rsidP="00173144">
            <w:pPr>
              <w:rPr>
                <w:sz w:val="20"/>
                <w:szCs w:val="20"/>
                <w:lang w:val="en-US"/>
              </w:rPr>
            </w:pPr>
            <w:r w:rsidRPr="0002336E">
              <w:rPr>
                <w:sz w:val="20"/>
                <w:szCs w:val="20"/>
                <w:lang w:val="en-US"/>
              </w:rPr>
              <w:t>Purchase/sale of equity financial instruments on the American market – from the transaction amount</w:t>
            </w:r>
          </w:p>
        </w:tc>
        <w:tc>
          <w:tcPr>
            <w:tcW w:w="5207" w:type="dxa"/>
            <w:tcBorders>
              <w:top w:val="nil"/>
              <w:left w:val="nil"/>
              <w:bottom w:val="single" w:sz="4" w:space="0" w:color="auto"/>
              <w:right w:val="single" w:sz="4" w:space="0" w:color="auto"/>
            </w:tcBorders>
            <w:vAlign w:val="center"/>
          </w:tcPr>
          <w:p w14:paraId="273F7D79" w14:textId="77777777" w:rsidR="00027DF8" w:rsidRPr="00FF3231" w:rsidRDefault="00027DF8" w:rsidP="00173144">
            <w:pPr>
              <w:spacing w:before="120"/>
              <w:rPr>
                <w:sz w:val="20"/>
                <w:szCs w:val="20"/>
              </w:rPr>
            </w:pPr>
            <w:r w:rsidRPr="00254CA6">
              <w:rPr>
                <w:sz w:val="20"/>
                <w:szCs w:val="20"/>
              </w:rPr>
              <w:t xml:space="preserve">0.5%, </w:t>
            </w:r>
            <w:proofErr w:type="spellStart"/>
            <w:r w:rsidRPr="00254CA6">
              <w:rPr>
                <w:sz w:val="20"/>
                <w:szCs w:val="20"/>
              </w:rPr>
              <w:t>at</w:t>
            </w:r>
            <w:proofErr w:type="spellEnd"/>
            <w:r w:rsidRPr="00254CA6">
              <w:rPr>
                <w:sz w:val="20"/>
                <w:szCs w:val="20"/>
              </w:rPr>
              <w:t xml:space="preserve"> </w:t>
            </w:r>
            <w:proofErr w:type="spellStart"/>
            <w:r w:rsidRPr="00254CA6">
              <w:rPr>
                <w:sz w:val="20"/>
                <w:szCs w:val="20"/>
              </w:rPr>
              <w:t>least</w:t>
            </w:r>
            <w:proofErr w:type="spellEnd"/>
            <w:r w:rsidRPr="00254CA6">
              <w:rPr>
                <w:sz w:val="20"/>
                <w:szCs w:val="20"/>
              </w:rPr>
              <w:t xml:space="preserve"> 50 USD</w:t>
            </w:r>
          </w:p>
        </w:tc>
      </w:tr>
      <w:tr w:rsidR="00027DF8" w:rsidRPr="00FF3231" w14:paraId="2F60E20E" w14:textId="77777777" w:rsidTr="00173144">
        <w:trPr>
          <w:trHeight w:val="637"/>
        </w:trPr>
        <w:tc>
          <w:tcPr>
            <w:tcW w:w="4962" w:type="dxa"/>
            <w:tcBorders>
              <w:top w:val="nil"/>
              <w:left w:val="single" w:sz="8" w:space="0" w:color="auto"/>
              <w:bottom w:val="single" w:sz="4" w:space="0" w:color="auto"/>
              <w:right w:val="single" w:sz="4" w:space="0" w:color="auto"/>
            </w:tcBorders>
            <w:vAlign w:val="center"/>
          </w:tcPr>
          <w:p w14:paraId="7C6A15FC" w14:textId="77777777" w:rsidR="00027DF8" w:rsidRPr="00254CA6" w:rsidRDefault="00027DF8" w:rsidP="00173144">
            <w:pPr>
              <w:rPr>
                <w:sz w:val="20"/>
                <w:szCs w:val="20"/>
                <w:lang w:val="en-US"/>
              </w:rPr>
            </w:pPr>
            <w:r w:rsidRPr="00254CA6">
              <w:rPr>
                <w:sz w:val="20"/>
                <w:szCs w:val="20"/>
                <w:lang w:val="en-US"/>
              </w:rPr>
              <w:t>Purchase/sale of debt financial instruments issued by the U.S. Treasury Department – from the transaction amount</w:t>
            </w:r>
          </w:p>
        </w:tc>
        <w:tc>
          <w:tcPr>
            <w:tcW w:w="5207" w:type="dxa"/>
            <w:tcBorders>
              <w:top w:val="nil"/>
              <w:left w:val="nil"/>
              <w:bottom w:val="single" w:sz="4" w:space="0" w:color="auto"/>
              <w:right w:val="single" w:sz="4" w:space="0" w:color="auto"/>
            </w:tcBorders>
            <w:vAlign w:val="center"/>
          </w:tcPr>
          <w:p w14:paraId="0CDA57A4" w14:textId="77777777" w:rsidR="00027DF8" w:rsidRPr="00FF3231" w:rsidRDefault="00027DF8" w:rsidP="00173144">
            <w:pPr>
              <w:spacing w:before="120"/>
              <w:rPr>
                <w:sz w:val="20"/>
                <w:szCs w:val="20"/>
              </w:rPr>
            </w:pPr>
            <w:r w:rsidRPr="00254CA6">
              <w:rPr>
                <w:sz w:val="20"/>
                <w:szCs w:val="20"/>
              </w:rPr>
              <w:t xml:space="preserve">0.5%, </w:t>
            </w:r>
            <w:proofErr w:type="spellStart"/>
            <w:r w:rsidRPr="00254CA6">
              <w:rPr>
                <w:sz w:val="20"/>
                <w:szCs w:val="20"/>
              </w:rPr>
              <w:t>at</w:t>
            </w:r>
            <w:proofErr w:type="spellEnd"/>
            <w:r w:rsidRPr="00254CA6">
              <w:rPr>
                <w:sz w:val="20"/>
                <w:szCs w:val="20"/>
              </w:rPr>
              <w:t xml:space="preserve"> </w:t>
            </w:r>
            <w:proofErr w:type="spellStart"/>
            <w:r w:rsidRPr="00254CA6">
              <w:rPr>
                <w:sz w:val="20"/>
                <w:szCs w:val="20"/>
              </w:rPr>
              <w:t>least</w:t>
            </w:r>
            <w:proofErr w:type="spellEnd"/>
            <w:r w:rsidRPr="00254CA6">
              <w:rPr>
                <w:sz w:val="20"/>
                <w:szCs w:val="20"/>
              </w:rPr>
              <w:t xml:space="preserve"> 200 USD</w:t>
            </w:r>
          </w:p>
        </w:tc>
      </w:tr>
      <w:tr w:rsidR="00027DF8" w:rsidRPr="00FF3231" w14:paraId="1393840B" w14:textId="77777777" w:rsidTr="00173144">
        <w:trPr>
          <w:trHeight w:val="844"/>
        </w:trPr>
        <w:tc>
          <w:tcPr>
            <w:tcW w:w="4962" w:type="dxa"/>
            <w:tcBorders>
              <w:top w:val="single" w:sz="4" w:space="0" w:color="auto"/>
              <w:left w:val="single" w:sz="4" w:space="0" w:color="auto"/>
              <w:bottom w:val="single" w:sz="4" w:space="0" w:color="auto"/>
              <w:right w:val="single" w:sz="4" w:space="0" w:color="auto"/>
            </w:tcBorders>
            <w:vAlign w:val="center"/>
            <w:hideMark/>
          </w:tcPr>
          <w:p w14:paraId="32CD04C2" w14:textId="77777777" w:rsidR="00027DF8" w:rsidRPr="00C723E7" w:rsidRDefault="00027DF8" w:rsidP="00173144">
            <w:pPr>
              <w:rPr>
                <w:sz w:val="20"/>
                <w:szCs w:val="20"/>
                <w:lang w:val="en-US"/>
              </w:rPr>
            </w:pPr>
            <w:r w:rsidRPr="00C723E7">
              <w:rPr>
                <w:sz w:val="20"/>
                <w:szCs w:val="20"/>
                <w:lang w:val="en-US"/>
              </w:rPr>
              <w:t>Purchase/sale of financial instruments (equity and debt) on the over–the-counter/international market with the participation of a Kazakhstani custodian - from the transaction amount</w:t>
            </w:r>
          </w:p>
        </w:tc>
        <w:tc>
          <w:tcPr>
            <w:tcW w:w="5207" w:type="dxa"/>
            <w:tcBorders>
              <w:top w:val="single" w:sz="4" w:space="0" w:color="auto"/>
              <w:left w:val="nil"/>
              <w:bottom w:val="single" w:sz="4" w:space="0" w:color="auto"/>
              <w:right w:val="single" w:sz="4" w:space="0" w:color="auto"/>
            </w:tcBorders>
            <w:vAlign w:val="center"/>
            <w:hideMark/>
          </w:tcPr>
          <w:p w14:paraId="7E3C5FDD" w14:textId="77777777" w:rsidR="00027DF8" w:rsidRPr="00FF3231" w:rsidRDefault="00027DF8" w:rsidP="00173144">
            <w:pPr>
              <w:rPr>
                <w:sz w:val="20"/>
                <w:szCs w:val="20"/>
              </w:rPr>
            </w:pPr>
            <w:r w:rsidRPr="00254CA6">
              <w:rPr>
                <w:sz w:val="20"/>
                <w:szCs w:val="20"/>
              </w:rPr>
              <w:t xml:space="preserve">0.5%, </w:t>
            </w:r>
            <w:proofErr w:type="spellStart"/>
            <w:r w:rsidRPr="00254CA6">
              <w:rPr>
                <w:sz w:val="20"/>
                <w:szCs w:val="20"/>
              </w:rPr>
              <w:t>at</w:t>
            </w:r>
            <w:proofErr w:type="spellEnd"/>
            <w:r w:rsidRPr="00254CA6">
              <w:rPr>
                <w:sz w:val="20"/>
                <w:szCs w:val="20"/>
              </w:rPr>
              <w:t xml:space="preserve"> </w:t>
            </w:r>
            <w:proofErr w:type="spellStart"/>
            <w:r w:rsidRPr="00254CA6">
              <w:rPr>
                <w:sz w:val="20"/>
                <w:szCs w:val="20"/>
              </w:rPr>
              <w:t>least</w:t>
            </w:r>
            <w:proofErr w:type="spellEnd"/>
            <w:r w:rsidRPr="00254CA6">
              <w:rPr>
                <w:sz w:val="20"/>
                <w:szCs w:val="20"/>
              </w:rPr>
              <w:t xml:space="preserve"> </w:t>
            </w:r>
            <w:r>
              <w:rPr>
                <w:sz w:val="20"/>
                <w:szCs w:val="20"/>
                <w:lang w:val="en-US"/>
              </w:rPr>
              <w:t>1</w:t>
            </w:r>
            <w:r w:rsidRPr="00254CA6">
              <w:rPr>
                <w:sz w:val="20"/>
                <w:szCs w:val="20"/>
              </w:rPr>
              <w:t>00 USD</w:t>
            </w:r>
          </w:p>
          <w:p w14:paraId="6D3695DF" w14:textId="77777777" w:rsidR="00027DF8" w:rsidRPr="00FF3231" w:rsidRDefault="00027DF8" w:rsidP="00173144">
            <w:pPr>
              <w:rPr>
                <w:sz w:val="20"/>
                <w:szCs w:val="20"/>
              </w:rPr>
            </w:pPr>
          </w:p>
          <w:p w14:paraId="62207E20" w14:textId="77777777" w:rsidR="00027DF8" w:rsidRPr="00FF3231" w:rsidRDefault="00027DF8" w:rsidP="00173144">
            <w:pPr>
              <w:rPr>
                <w:sz w:val="20"/>
                <w:szCs w:val="20"/>
              </w:rPr>
            </w:pPr>
          </w:p>
        </w:tc>
      </w:tr>
      <w:tr w:rsidR="00027DF8" w:rsidRPr="00027DF8" w14:paraId="69C745F1" w14:textId="77777777" w:rsidTr="00173144">
        <w:trPr>
          <w:trHeight w:val="1829"/>
        </w:trPr>
        <w:tc>
          <w:tcPr>
            <w:tcW w:w="4962" w:type="dxa"/>
            <w:tcBorders>
              <w:top w:val="single" w:sz="4" w:space="0" w:color="auto"/>
              <w:left w:val="single" w:sz="4" w:space="0" w:color="auto"/>
              <w:bottom w:val="single" w:sz="4" w:space="0" w:color="auto"/>
              <w:right w:val="single" w:sz="4" w:space="0" w:color="auto"/>
            </w:tcBorders>
            <w:vAlign w:val="center"/>
          </w:tcPr>
          <w:p w14:paraId="1D3D5B7C" w14:textId="77777777" w:rsidR="00027DF8" w:rsidRPr="001D4028" w:rsidRDefault="00027DF8" w:rsidP="00173144">
            <w:pPr>
              <w:ind w:left="227"/>
              <w:rPr>
                <w:sz w:val="20"/>
                <w:szCs w:val="20"/>
              </w:rPr>
            </w:pPr>
            <w:r w:rsidRPr="001D4028">
              <w:rPr>
                <w:sz w:val="20"/>
                <w:szCs w:val="20"/>
              </w:rPr>
              <w:t xml:space="preserve">REPO </w:t>
            </w:r>
            <w:proofErr w:type="spellStart"/>
            <w:r w:rsidRPr="001D4028">
              <w:rPr>
                <w:sz w:val="20"/>
                <w:szCs w:val="20"/>
              </w:rPr>
              <w:t>transactions</w:t>
            </w:r>
            <w:proofErr w:type="spellEnd"/>
          </w:p>
          <w:p w14:paraId="55EB7472" w14:textId="77777777" w:rsidR="00027DF8" w:rsidRPr="00EC04C1" w:rsidRDefault="00027DF8" w:rsidP="00027DF8">
            <w:pPr>
              <w:numPr>
                <w:ilvl w:val="0"/>
                <w:numId w:val="6"/>
              </w:numPr>
              <w:spacing w:line="240" w:lineRule="auto"/>
              <w:ind w:left="227" w:hanging="227"/>
              <w:rPr>
                <w:sz w:val="20"/>
                <w:szCs w:val="20"/>
                <w:lang w:val="en-US"/>
              </w:rPr>
            </w:pPr>
            <w:r w:rsidRPr="00EC04C1">
              <w:rPr>
                <w:sz w:val="20"/>
                <w:szCs w:val="20"/>
                <w:lang w:val="en-US"/>
              </w:rPr>
              <w:t>during the reverse REPO operation (placement of funds) – as a percentage of the client's income;</w:t>
            </w:r>
          </w:p>
          <w:p w14:paraId="44DF0F6F" w14:textId="77777777" w:rsidR="00027DF8" w:rsidRPr="00A136E7" w:rsidRDefault="00027DF8" w:rsidP="00173144">
            <w:pPr>
              <w:ind w:left="195" w:hanging="195"/>
              <w:rPr>
                <w:sz w:val="20"/>
                <w:szCs w:val="20"/>
                <w:lang w:val="en-US"/>
              </w:rPr>
            </w:pPr>
            <w:r w:rsidRPr="00A136E7">
              <w:rPr>
                <w:rFonts w:ascii="Segoe UI Symbol" w:hAnsi="Segoe UI Symbol"/>
                <w:sz w:val="20"/>
                <w:szCs w:val="20"/>
                <w:lang w:val="en-US"/>
              </w:rPr>
              <w:t xml:space="preserve">◾ </w:t>
            </w:r>
            <w:r w:rsidRPr="00A136E7">
              <w:rPr>
                <w:sz w:val="20"/>
                <w:szCs w:val="20"/>
                <w:lang w:val="en-US"/>
              </w:rPr>
              <w:t>in the case of a REPO operation (raising funds) – as a percentage of the difference between the volume of closing and opening</w:t>
            </w:r>
          </w:p>
        </w:tc>
        <w:tc>
          <w:tcPr>
            <w:tcW w:w="5207" w:type="dxa"/>
            <w:tcBorders>
              <w:top w:val="single" w:sz="4" w:space="0" w:color="auto"/>
              <w:left w:val="nil"/>
              <w:bottom w:val="single" w:sz="4" w:space="0" w:color="auto"/>
              <w:right w:val="single" w:sz="4" w:space="0" w:color="auto"/>
            </w:tcBorders>
            <w:vAlign w:val="center"/>
          </w:tcPr>
          <w:p w14:paraId="3C5FDCE2" w14:textId="77777777" w:rsidR="00027DF8" w:rsidRPr="00EC04C1" w:rsidRDefault="00027DF8" w:rsidP="00173144">
            <w:pPr>
              <w:rPr>
                <w:sz w:val="20"/>
                <w:szCs w:val="20"/>
                <w:lang w:val="en-US"/>
              </w:rPr>
            </w:pPr>
            <w:r w:rsidRPr="00EC04C1">
              <w:rPr>
                <w:rFonts w:ascii="Segoe UI Symbol" w:hAnsi="Segoe UI Symbol"/>
                <w:sz w:val="20"/>
                <w:szCs w:val="20"/>
                <w:lang w:val="en-US"/>
              </w:rPr>
              <w:t>◾</w:t>
            </w:r>
            <w:r w:rsidRPr="00EC04C1">
              <w:rPr>
                <w:sz w:val="20"/>
                <w:szCs w:val="20"/>
                <w:lang w:val="en-US"/>
              </w:rPr>
              <w:t xml:space="preserve"> 1% of the revenue amount within a single customer order, at least 10 USD</w:t>
            </w:r>
            <w:r>
              <w:rPr>
                <w:sz w:val="20"/>
                <w:szCs w:val="20"/>
                <w:lang w:val="en-US"/>
              </w:rPr>
              <w:t>;</w:t>
            </w:r>
          </w:p>
          <w:p w14:paraId="44A98F7C" w14:textId="77777777" w:rsidR="00027DF8" w:rsidRPr="00EC04C1" w:rsidRDefault="00027DF8" w:rsidP="00173144">
            <w:pPr>
              <w:rPr>
                <w:sz w:val="20"/>
                <w:szCs w:val="20"/>
                <w:lang w:val="en-US"/>
              </w:rPr>
            </w:pPr>
          </w:p>
          <w:p w14:paraId="37F26988" w14:textId="77777777" w:rsidR="00027DF8" w:rsidRPr="00A136E7" w:rsidRDefault="00027DF8" w:rsidP="00173144">
            <w:pPr>
              <w:rPr>
                <w:sz w:val="20"/>
                <w:szCs w:val="20"/>
                <w:lang w:val="en-US"/>
              </w:rPr>
            </w:pPr>
            <w:r w:rsidRPr="00A136E7">
              <w:rPr>
                <w:rFonts w:ascii="Segoe UI Symbol" w:hAnsi="Segoe UI Symbol"/>
                <w:sz w:val="20"/>
                <w:szCs w:val="20"/>
                <w:lang w:val="en-US"/>
              </w:rPr>
              <w:t>◾</w:t>
            </w:r>
            <w:r w:rsidRPr="00A136E7">
              <w:rPr>
                <w:sz w:val="20"/>
                <w:szCs w:val="20"/>
                <w:lang w:val="en-US"/>
              </w:rPr>
              <w:t xml:space="preserve"> 2% of the revenue amount within a single customer order, at least 20 USD</w:t>
            </w:r>
          </w:p>
        </w:tc>
      </w:tr>
      <w:tr w:rsidR="00027DF8" w:rsidRPr="00FF3231" w14:paraId="6C8E5DA8" w14:textId="77777777" w:rsidTr="00173144">
        <w:trPr>
          <w:trHeight w:val="488"/>
        </w:trPr>
        <w:tc>
          <w:tcPr>
            <w:tcW w:w="4962" w:type="dxa"/>
            <w:tcBorders>
              <w:top w:val="single" w:sz="4" w:space="0" w:color="auto"/>
              <w:left w:val="single" w:sz="4" w:space="0" w:color="auto"/>
              <w:bottom w:val="single" w:sz="4" w:space="0" w:color="auto"/>
              <w:right w:val="single" w:sz="4" w:space="0" w:color="auto"/>
            </w:tcBorders>
          </w:tcPr>
          <w:p w14:paraId="1CD32FF4" w14:textId="77777777" w:rsidR="00027DF8" w:rsidRPr="001003BE" w:rsidRDefault="00027DF8" w:rsidP="00173144">
            <w:pPr>
              <w:spacing w:before="120" w:after="120"/>
              <w:rPr>
                <w:sz w:val="20"/>
                <w:szCs w:val="20"/>
                <w:lang w:val="en-US"/>
              </w:rPr>
            </w:pPr>
            <w:r w:rsidRPr="001003BE">
              <w:rPr>
                <w:sz w:val="20"/>
                <w:szCs w:val="20"/>
                <w:lang w:val="en-US"/>
              </w:rPr>
              <w:t>Conversion of funds on the exchange depends on the volume of conversion</w:t>
            </w:r>
          </w:p>
        </w:tc>
        <w:tc>
          <w:tcPr>
            <w:tcW w:w="5207" w:type="dxa"/>
            <w:tcBorders>
              <w:top w:val="single" w:sz="4" w:space="0" w:color="auto"/>
              <w:left w:val="nil"/>
              <w:bottom w:val="single" w:sz="4" w:space="0" w:color="auto"/>
              <w:right w:val="single" w:sz="4" w:space="0" w:color="auto"/>
            </w:tcBorders>
          </w:tcPr>
          <w:p w14:paraId="6CE371B7" w14:textId="77777777" w:rsidR="00027DF8" w:rsidRPr="00CA38D9" w:rsidRDefault="00027DF8" w:rsidP="00173144">
            <w:pPr>
              <w:rPr>
                <w:sz w:val="20"/>
                <w:szCs w:val="20"/>
              </w:rPr>
            </w:pPr>
            <w:r w:rsidRPr="001003BE">
              <w:rPr>
                <w:sz w:val="20"/>
                <w:szCs w:val="20"/>
              </w:rPr>
              <w:t xml:space="preserve">0.05%, </w:t>
            </w:r>
            <w:proofErr w:type="spellStart"/>
            <w:r w:rsidRPr="001003BE">
              <w:rPr>
                <w:sz w:val="20"/>
                <w:szCs w:val="20"/>
              </w:rPr>
              <w:t>at</w:t>
            </w:r>
            <w:proofErr w:type="spellEnd"/>
            <w:r w:rsidRPr="001003BE">
              <w:rPr>
                <w:sz w:val="20"/>
                <w:szCs w:val="20"/>
              </w:rPr>
              <w:t xml:space="preserve"> </w:t>
            </w:r>
            <w:proofErr w:type="spellStart"/>
            <w:r w:rsidRPr="001003BE">
              <w:rPr>
                <w:sz w:val="20"/>
                <w:szCs w:val="20"/>
              </w:rPr>
              <w:t>least</w:t>
            </w:r>
            <w:proofErr w:type="spellEnd"/>
            <w:r w:rsidRPr="001003BE">
              <w:rPr>
                <w:sz w:val="20"/>
                <w:szCs w:val="20"/>
              </w:rPr>
              <w:t xml:space="preserve"> 10 USD</w:t>
            </w:r>
          </w:p>
        </w:tc>
      </w:tr>
      <w:tr w:rsidR="00027DF8" w:rsidRPr="00FF3231" w14:paraId="600F71F1" w14:textId="77777777" w:rsidTr="00173144">
        <w:trPr>
          <w:trHeight w:val="488"/>
        </w:trPr>
        <w:tc>
          <w:tcPr>
            <w:tcW w:w="4962" w:type="dxa"/>
            <w:tcBorders>
              <w:top w:val="single" w:sz="4" w:space="0" w:color="auto"/>
              <w:left w:val="single" w:sz="4" w:space="0" w:color="auto"/>
              <w:bottom w:val="single" w:sz="4" w:space="0" w:color="auto"/>
              <w:right w:val="single" w:sz="4" w:space="0" w:color="auto"/>
            </w:tcBorders>
            <w:vAlign w:val="center"/>
          </w:tcPr>
          <w:p w14:paraId="2CABF0B1" w14:textId="77777777" w:rsidR="00027DF8" w:rsidRPr="00FB50AE" w:rsidRDefault="00027DF8" w:rsidP="00173144">
            <w:pPr>
              <w:spacing w:before="120" w:after="120"/>
              <w:rPr>
                <w:sz w:val="20"/>
                <w:szCs w:val="20"/>
                <w:lang w:val="en-US"/>
              </w:rPr>
            </w:pPr>
            <w:r w:rsidRPr="00FB50AE">
              <w:rPr>
                <w:sz w:val="20"/>
                <w:szCs w:val="20"/>
                <w:lang w:val="en-US"/>
              </w:rPr>
              <w:t>Currency swap operations – based on the volume of the operation</w:t>
            </w:r>
          </w:p>
        </w:tc>
        <w:tc>
          <w:tcPr>
            <w:tcW w:w="5207" w:type="dxa"/>
            <w:tcBorders>
              <w:top w:val="single" w:sz="4" w:space="0" w:color="auto"/>
              <w:left w:val="nil"/>
              <w:bottom w:val="single" w:sz="4" w:space="0" w:color="auto"/>
              <w:right w:val="single" w:sz="4" w:space="0" w:color="auto"/>
            </w:tcBorders>
          </w:tcPr>
          <w:p w14:paraId="5B3D771D" w14:textId="77777777" w:rsidR="00027DF8" w:rsidRDefault="00027DF8" w:rsidP="00173144">
            <w:pPr>
              <w:rPr>
                <w:sz w:val="20"/>
                <w:szCs w:val="20"/>
              </w:rPr>
            </w:pPr>
            <w:r w:rsidRPr="0094371B">
              <w:rPr>
                <w:sz w:val="20"/>
                <w:szCs w:val="20"/>
              </w:rPr>
              <w:t xml:space="preserve">0.05%, </w:t>
            </w:r>
            <w:proofErr w:type="spellStart"/>
            <w:r w:rsidRPr="0094371B">
              <w:rPr>
                <w:sz w:val="20"/>
                <w:szCs w:val="20"/>
              </w:rPr>
              <w:t>at</w:t>
            </w:r>
            <w:proofErr w:type="spellEnd"/>
            <w:r w:rsidRPr="0094371B">
              <w:rPr>
                <w:sz w:val="20"/>
                <w:szCs w:val="20"/>
              </w:rPr>
              <w:t xml:space="preserve"> </w:t>
            </w:r>
            <w:proofErr w:type="spellStart"/>
            <w:r w:rsidRPr="0094371B">
              <w:rPr>
                <w:sz w:val="20"/>
                <w:szCs w:val="20"/>
              </w:rPr>
              <w:t>least</w:t>
            </w:r>
            <w:proofErr w:type="spellEnd"/>
            <w:r w:rsidRPr="0094371B">
              <w:rPr>
                <w:sz w:val="20"/>
                <w:szCs w:val="20"/>
              </w:rPr>
              <w:t xml:space="preserve"> 10 USD</w:t>
            </w:r>
          </w:p>
        </w:tc>
      </w:tr>
      <w:tr w:rsidR="00027DF8" w:rsidRPr="00FF3231" w14:paraId="333C7AD8" w14:textId="77777777" w:rsidTr="00173144">
        <w:trPr>
          <w:trHeight w:val="488"/>
        </w:trPr>
        <w:tc>
          <w:tcPr>
            <w:tcW w:w="4962" w:type="dxa"/>
            <w:tcBorders>
              <w:top w:val="single" w:sz="4" w:space="0" w:color="auto"/>
              <w:left w:val="single" w:sz="4" w:space="0" w:color="auto"/>
              <w:bottom w:val="single" w:sz="4" w:space="0" w:color="auto"/>
              <w:right w:val="single" w:sz="4" w:space="0" w:color="auto"/>
            </w:tcBorders>
            <w:vAlign w:val="center"/>
          </w:tcPr>
          <w:p w14:paraId="4B9325A8" w14:textId="77777777" w:rsidR="00027DF8" w:rsidRPr="0094371B" w:rsidRDefault="00027DF8" w:rsidP="00173144">
            <w:pPr>
              <w:spacing w:before="120" w:after="120"/>
              <w:rPr>
                <w:sz w:val="20"/>
                <w:szCs w:val="20"/>
                <w:lang w:val="en-US"/>
              </w:rPr>
            </w:pPr>
            <w:r w:rsidRPr="0094371B">
              <w:rPr>
                <w:sz w:val="20"/>
                <w:szCs w:val="20"/>
                <w:lang w:val="en-US"/>
              </w:rPr>
              <w:t>Conversion of funds on the over-the-counter market depends on the volume of the operation</w:t>
            </w:r>
          </w:p>
        </w:tc>
        <w:tc>
          <w:tcPr>
            <w:tcW w:w="5207" w:type="dxa"/>
            <w:tcBorders>
              <w:top w:val="single" w:sz="4" w:space="0" w:color="auto"/>
              <w:left w:val="nil"/>
              <w:bottom w:val="single" w:sz="4" w:space="0" w:color="auto"/>
              <w:right w:val="single" w:sz="4" w:space="0" w:color="auto"/>
            </w:tcBorders>
            <w:vAlign w:val="center"/>
          </w:tcPr>
          <w:p w14:paraId="67188894" w14:textId="77777777" w:rsidR="00027DF8" w:rsidRDefault="00027DF8" w:rsidP="00173144">
            <w:pPr>
              <w:rPr>
                <w:sz w:val="20"/>
                <w:szCs w:val="20"/>
              </w:rPr>
            </w:pPr>
            <w:r w:rsidRPr="0094371B">
              <w:rPr>
                <w:sz w:val="20"/>
                <w:szCs w:val="20"/>
              </w:rPr>
              <w:t xml:space="preserve">0.1%, </w:t>
            </w:r>
            <w:proofErr w:type="spellStart"/>
            <w:r w:rsidRPr="0094371B">
              <w:rPr>
                <w:sz w:val="20"/>
                <w:szCs w:val="20"/>
              </w:rPr>
              <w:t>at</w:t>
            </w:r>
            <w:proofErr w:type="spellEnd"/>
            <w:r w:rsidRPr="0094371B">
              <w:rPr>
                <w:sz w:val="20"/>
                <w:szCs w:val="20"/>
              </w:rPr>
              <w:t xml:space="preserve"> </w:t>
            </w:r>
            <w:proofErr w:type="spellStart"/>
            <w:r w:rsidRPr="0094371B">
              <w:rPr>
                <w:sz w:val="20"/>
                <w:szCs w:val="20"/>
              </w:rPr>
              <w:t>least</w:t>
            </w:r>
            <w:proofErr w:type="spellEnd"/>
            <w:r w:rsidRPr="0094371B">
              <w:rPr>
                <w:sz w:val="20"/>
                <w:szCs w:val="20"/>
              </w:rPr>
              <w:t xml:space="preserve"> 100 USD</w:t>
            </w:r>
          </w:p>
        </w:tc>
      </w:tr>
    </w:tbl>
    <w:p w14:paraId="32418B95" w14:textId="77777777" w:rsidR="00027DF8" w:rsidRDefault="00027DF8" w:rsidP="00027DF8">
      <w:pPr>
        <w:spacing w:after="120"/>
        <w:rPr>
          <w:b/>
          <w:bCs/>
          <w:i/>
          <w:iCs/>
          <w:u w:val="single"/>
        </w:rPr>
      </w:pPr>
    </w:p>
    <w:p w14:paraId="1794A82D" w14:textId="77777777" w:rsidR="00027DF8" w:rsidRPr="0094371B" w:rsidRDefault="00027DF8" w:rsidP="00027DF8">
      <w:pPr>
        <w:spacing w:after="120"/>
        <w:rPr>
          <w:b/>
          <w:bCs/>
          <w:i/>
          <w:iCs/>
          <w:u w:val="single"/>
          <w:lang w:val="en-US"/>
        </w:rPr>
      </w:pPr>
      <w:r>
        <w:rPr>
          <w:b/>
          <w:bCs/>
          <w:i/>
          <w:iCs/>
          <w:u w:val="single"/>
          <w:lang w:val="en-US"/>
        </w:rPr>
        <w:t>Notes:</w:t>
      </w:r>
    </w:p>
    <w:p w14:paraId="3D04800B" w14:textId="77777777" w:rsidR="00027DF8" w:rsidRPr="0006177B" w:rsidRDefault="00027DF8" w:rsidP="00027DF8">
      <w:pPr>
        <w:numPr>
          <w:ilvl w:val="0"/>
          <w:numId w:val="5"/>
        </w:numPr>
        <w:spacing w:after="120" w:line="240" w:lineRule="auto"/>
        <w:ind w:left="-142"/>
        <w:jc w:val="both"/>
        <w:rPr>
          <w:bCs/>
          <w:lang w:val="en-US"/>
        </w:rPr>
      </w:pPr>
      <w:r w:rsidRPr="0006177B">
        <w:rPr>
          <w:bCs/>
          <w:lang w:val="en-US"/>
        </w:rPr>
        <w:t>The above rates and tariffs include the rates and tariffs of third parties who are professional market participants in transactions and custody of securities, namely: tariffs of Kazakhstan Stock Exchange JSC, Central Securities Depository JSC, custodian banks, second-tier banks, AIFC Stock Exchange, AIFC Depository, international brokers-intermediaries and other commissions included in the amount of transactions.</w:t>
      </w:r>
    </w:p>
    <w:p w14:paraId="70B0FA96" w14:textId="77777777" w:rsidR="00027DF8" w:rsidRPr="0006177B" w:rsidRDefault="00027DF8" w:rsidP="00027DF8">
      <w:pPr>
        <w:numPr>
          <w:ilvl w:val="0"/>
          <w:numId w:val="5"/>
        </w:numPr>
        <w:spacing w:after="120" w:line="240" w:lineRule="auto"/>
        <w:ind w:left="-142"/>
        <w:jc w:val="both"/>
        <w:rPr>
          <w:bCs/>
          <w:lang w:val="en-US"/>
        </w:rPr>
      </w:pPr>
      <w:r w:rsidRPr="0006177B">
        <w:rPr>
          <w:bCs/>
          <w:lang w:val="en-US"/>
        </w:rPr>
        <w:t>The above rates do not include:</w:t>
      </w:r>
    </w:p>
    <w:p w14:paraId="508A4F77" w14:textId="77777777" w:rsidR="00027DF8" w:rsidRPr="006F09DF" w:rsidRDefault="00027DF8" w:rsidP="00027DF8">
      <w:pPr>
        <w:pStyle w:val="a7"/>
        <w:spacing w:after="120"/>
        <w:ind w:left="-142"/>
        <w:jc w:val="both"/>
        <w:rPr>
          <w:bCs/>
          <w:lang w:val="en-US"/>
        </w:rPr>
      </w:pPr>
      <w:r w:rsidRPr="00307360">
        <w:rPr>
          <w:bCs/>
          <w:lang w:val="kk-KZ"/>
        </w:rPr>
        <w:t>Stamp Duty</w:t>
      </w:r>
      <w:r w:rsidRPr="006F09DF">
        <w:rPr>
          <w:bCs/>
          <w:lang w:val="en-US"/>
        </w:rPr>
        <w:t>;</w:t>
      </w:r>
    </w:p>
    <w:p w14:paraId="6517758D" w14:textId="77777777" w:rsidR="00027DF8" w:rsidRPr="006F09DF" w:rsidRDefault="00027DF8" w:rsidP="00027DF8">
      <w:pPr>
        <w:pStyle w:val="a7"/>
        <w:spacing w:after="120"/>
        <w:ind w:left="-142"/>
        <w:jc w:val="both"/>
        <w:rPr>
          <w:bCs/>
          <w:lang w:val="en-US"/>
        </w:rPr>
      </w:pPr>
    </w:p>
    <w:p w14:paraId="50057C96" w14:textId="77777777" w:rsidR="00027DF8" w:rsidRDefault="00027DF8" w:rsidP="00027DF8">
      <w:pPr>
        <w:pStyle w:val="a7"/>
        <w:spacing w:after="120"/>
        <w:ind w:left="-142"/>
        <w:jc w:val="both"/>
        <w:rPr>
          <w:bCs/>
          <w:lang w:val="en-US"/>
        </w:rPr>
      </w:pPr>
      <w:r w:rsidRPr="006F09DF">
        <w:rPr>
          <w:bCs/>
          <w:lang w:val="en-US"/>
        </w:rPr>
        <w:t>The fee for submitting the W8-BEN form;</w:t>
      </w:r>
    </w:p>
    <w:p w14:paraId="7D896293" w14:textId="77777777" w:rsidR="00027DF8" w:rsidRPr="006F09DF" w:rsidRDefault="00027DF8" w:rsidP="00027DF8">
      <w:pPr>
        <w:pStyle w:val="a7"/>
        <w:spacing w:after="120"/>
        <w:ind w:left="-142"/>
        <w:jc w:val="both"/>
        <w:rPr>
          <w:bCs/>
          <w:lang w:val="en-US"/>
        </w:rPr>
      </w:pPr>
    </w:p>
    <w:p w14:paraId="1A97AAAC" w14:textId="77777777" w:rsidR="00027DF8" w:rsidRPr="0007275E" w:rsidRDefault="00027DF8" w:rsidP="00027DF8">
      <w:pPr>
        <w:spacing w:after="120"/>
        <w:ind w:left="-142"/>
        <w:jc w:val="both"/>
        <w:rPr>
          <w:bCs/>
          <w:lang w:val="en-US"/>
        </w:rPr>
      </w:pPr>
      <w:r w:rsidRPr="0007275E">
        <w:rPr>
          <w:bCs/>
          <w:lang w:val="en-US"/>
        </w:rPr>
        <w:lastRenderedPageBreak/>
        <w:t>Other third-party commissions not provided for above.</w:t>
      </w:r>
    </w:p>
    <w:p w14:paraId="477B5955" w14:textId="77777777" w:rsidR="00027DF8" w:rsidRPr="0007275E" w:rsidRDefault="00027DF8" w:rsidP="00027DF8">
      <w:pPr>
        <w:numPr>
          <w:ilvl w:val="0"/>
          <w:numId w:val="2"/>
        </w:numPr>
        <w:spacing w:after="120" w:line="240" w:lineRule="auto"/>
        <w:ind w:left="-142" w:hanging="357"/>
        <w:jc w:val="both"/>
        <w:rPr>
          <w:bCs/>
          <w:lang w:val="en-US"/>
        </w:rPr>
      </w:pPr>
      <w:r w:rsidRPr="0007275E">
        <w:rPr>
          <w:bCs/>
          <w:lang w:val="en-US"/>
        </w:rPr>
        <w:t>If the commissions of third parties exceed the above tariff, the Company has the right to additionally charge a commission for payment by the Client.</w:t>
      </w:r>
    </w:p>
    <w:p w14:paraId="621EEB57" w14:textId="77777777" w:rsidR="00027DF8" w:rsidRPr="00065D8B" w:rsidRDefault="00027DF8" w:rsidP="00027DF8">
      <w:pPr>
        <w:numPr>
          <w:ilvl w:val="0"/>
          <w:numId w:val="2"/>
        </w:numPr>
        <w:spacing w:after="120" w:line="240" w:lineRule="auto"/>
        <w:ind w:left="-142" w:hanging="357"/>
        <w:jc w:val="both"/>
        <w:rPr>
          <w:bCs/>
          <w:lang w:val="en-US"/>
        </w:rPr>
      </w:pPr>
      <w:r w:rsidRPr="00065D8B">
        <w:rPr>
          <w:bCs/>
          <w:lang w:val="en-US"/>
        </w:rPr>
        <w:t>Any duties, taxes and fees on transactions withheld in accordance with the laws of the country in which the transactions are carried out are not an obligation of the Company and must be paid by the Client.</w:t>
      </w:r>
    </w:p>
    <w:p w14:paraId="57376429" w14:textId="77777777" w:rsidR="00027DF8" w:rsidRPr="00065D8B" w:rsidRDefault="00027DF8" w:rsidP="00027DF8">
      <w:pPr>
        <w:numPr>
          <w:ilvl w:val="0"/>
          <w:numId w:val="2"/>
        </w:numPr>
        <w:spacing w:after="120" w:line="240" w:lineRule="auto"/>
        <w:ind w:left="-142" w:hanging="357"/>
        <w:jc w:val="both"/>
        <w:rPr>
          <w:bCs/>
          <w:lang w:val="en-US"/>
        </w:rPr>
      </w:pPr>
      <w:r w:rsidRPr="00065D8B">
        <w:rPr>
          <w:bCs/>
          <w:lang w:val="en-US"/>
        </w:rPr>
        <w:t>The Company's remuneration for transactions is calculated from the total volume of the executed part of the client's order. So, if two or more transactions are concluded for one order, the commissions are calculated from the total amount of transactions concluded for this order.</w:t>
      </w:r>
    </w:p>
    <w:p w14:paraId="030A66E5" w14:textId="77777777" w:rsidR="00027DF8" w:rsidRPr="00A92990" w:rsidRDefault="00027DF8" w:rsidP="00027DF8">
      <w:pPr>
        <w:numPr>
          <w:ilvl w:val="0"/>
          <w:numId w:val="2"/>
        </w:numPr>
        <w:spacing w:after="120" w:line="240" w:lineRule="auto"/>
        <w:ind w:left="-142" w:hanging="357"/>
        <w:jc w:val="both"/>
        <w:rPr>
          <w:bCs/>
          <w:lang w:val="en-US"/>
        </w:rPr>
      </w:pPr>
      <w:r w:rsidRPr="00A92990">
        <w:rPr>
          <w:bCs/>
          <w:lang w:val="en-US"/>
        </w:rPr>
        <w:t>The Company's remuneration for storing financial instruments is calculated at the official exchange rate of the National Bank of the Republic of Kazakhstan on the date of remuneration accrual. For debt securities, the commission is calculated as a percentage set by the tariffs of the nominal value of securities, for equity instruments at market value, and in the absence of market value, the nominal value is applied.</w:t>
      </w:r>
    </w:p>
    <w:p w14:paraId="411A052E" w14:textId="77777777" w:rsidR="00027DF8" w:rsidRPr="00A92990" w:rsidRDefault="00027DF8" w:rsidP="00027DF8">
      <w:pPr>
        <w:numPr>
          <w:ilvl w:val="0"/>
          <w:numId w:val="2"/>
        </w:numPr>
        <w:spacing w:after="120" w:line="240" w:lineRule="auto"/>
        <w:ind w:left="-142" w:hanging="357"/>
        <w:jc w:val="both"/>
        <w:rPr>
          <w:bCs/>
          <w:lang w:val="en-US"/>
        </w:rPr>
      </w:pPr>
      <w:r w:rsidRPr="00A92990">
        <w:rPr>
          <w:bCs/>
          <w:lang w:val="en-US"/>
        </w:rPr>
        <w:t>The Company shall debit the Client's obligations to pay commissions from the Client's account in a non-acceptance manner.</w:t>
      </w:r>
    </w:p>
    <w:p w14:paraId="1E459314" w14:textId="77777777" w:rsidR="00027DF8" w:rsidRPr="008E4BCA" w:rsidRDefault="00027DF8" w:rsidP="00027DF8">
      <w:pPr>
        <w:numPr>
          <w:ilvl w:val="0"/>
          <w:numId w:val="2"/>
        </w:numPr>
        <w:spacing w:after="120" w:line="240" w:lineRule="auto"/>
        <w:ind w:left="-142" w:hanging="357"/>
        <w:jc w:val="both"/>
        <w:rPr>
          <w:bCs/>
          <w:lang w:val="en-US"/>
        </w:rPr>
      </w:pPr>
      <w:r w:rsidRPr="008E4BCA">
        <w:rPr>
          <w:bCs/>
          <w:lang w:val="en-US"/>
        </w:rPr>
        <w:t>The Company unilaterally has the right to convert money from foreign currency into national currency in an amount sufficient to cover the Company's commission obligations at the exchange rate of the servicing bank on the day of the conversion.</w:t>
      </w:r>
    </w:p>
    <w:p w14:paraId="6E2816D1" w14:textId="77777777" w:rsidR="00027DF8" w:rsidRPr="008E4BCA" w:rsidRDefault="00027DF8" w:rsidP="00027DF8">
      <w:pPr>
        <w:pStyle w:val="a7"/>
        <w:ind w:left="1068"/>
        <w:rPr>
          <w:b/>
          <w:lang w:val="en-US"/>
        </w:rPr>
      </w:pPr>
    </w:p>
    <w:p w14:paraId="130044BE" w14:textId="77777777" w:rsidR="00027DF8" w:rsidRPr="008E4BCA" w:rsidRDefault="00027DF8" w:rsidP="00027DF8">
      <w:pPr>
        <w:rPr>
          <w:lang w:val="en-US"/>
        </w:rPr>
      </w:pPr>
    </w:p>
    <w:p w14:paraId="0C59E765" w14:textId="77777777" w:rsidR="00027DF8" w:rsidRPr="008E4BCA" w:rsidRDefault="00027DF8" w:rsidP="00027DF8">
      <w:pPr>
        <w:rPr>
          <w:lang w:val="en-US"/>
        </w:rPr>
      </w:pPr>
    </w:p>
    <w:p w14:paraId="700ED445" w14:textId="77777777" w:rsidR="00027DF8" w:rsidRPr="008E4BCA" w:rsidRDefault="00027DF8" w:rsidP="00027DF8">
      <w:pPr>
        <w:rPr>
          <w:lang w:val="en-US"/>
        </w:rPr>
      </w:pPr>
    </w:p>
    <w:p w14:paraId="03F25F52" w14:textId="77777777" w:rsidR="00027DF8" w:rsidRPr="008E4BCA" w:rsidRDefault="00027DF8" w:rsidP="00027DF8">
      <w:pPr>
        <w:rPr>
          <w:lang w:val="en-US"/>
        </w:rPr>
      </w:pPr>
    </w:p>
    <w:p w14:paraId="6300161A" w14:textId="043F70D5" w:rsidR="00BF1628" w:rsidRPr="00190230" w:rsidRDefault="00BF1628" w:rsidP="00BF1628">
      <w:pPr>
        <w:tabs>
          <w:tab w:val="num" w:pos="567"/>
        </w:tabs>
        <w:ind w:left="-142"/>
        <w:jc w:val="right"/>
        <w:rPr>
          <w:rFonts w:ascii="Times New Roman" w:hAnsi="Times New Roman" w:cs="Times New Roman"/>
          <w:sz w:val="20"/>
          <w:szCs w:val="20"/>
          <w:lang w:val="en-US"/>
        </w:rPr>
      </w:pPr>
    </w:p>
    <w:p w14:paraId="155CD292" w14:textId="77777777" w:rsidR="00BF1628" w:rsidRPr="00190230" w:rsidRDefault="00BF1628" w:rsidP="00BF1628">
      <w:pPr>
        <w:tabs>
          <w:tab w:val="num" w:pos="567"/>
        </w:tabs>
        <w:ind w:left="-142"/>
        <w:jc w:val="right"/>
        <w:rPr>
          <w:rFonts w:ascii="Times New Roman" w:hAnsi="Times New Roman" w:cs="Times New Roman"/>
          <w:sz w:val="20"/>
          <w:szCs w:val="20"/>
          <w:lang w:val="en-US"/>
        </w:rPr>
      </w:pPr>
    </w:p>
    <w:p w14:paraId="2506DD78" w14:textId="77777777" w:rsidR="00BF1628" w:rsidRPr="00190230" w:rsidRDefault="00BF1628" w:rsidP="00BF1628">
      <w:pPr>
        <w:tabs>
          <w:tab w:val="num" w:pos="567"/>
        </w:tabs>
        <w:ind w:left="-142"/>
        <w:jc w:val="right"/>
        <w:rPr>
          <w:rFonts w:ascii="Times New Roman" w:hAnsi="Times New Roman" w:cs="Times New Roman"/>
          <w:sz w:val="20"/>
          <w:szCs w:val="20"/>
          <w:lang w:val="en-US"/>
        </w:rPr>
      </w:pPr>
    </w:p>
    <w:p w14:paraId="4047749E" w14:textId="77777777" w:rsidR="00A06A67" w:rsidRPr="00D20BC1" w:rsidRDefault="00A06A67" w:rsidP="00A06A67">
      <w:pPr>
        <w:spacing w:after="0" w:line="240" w:lineRule="auto"/>
        <w:jc w:val="right"/>
        <w:rPr>
          <w:lang w:val="en-US"/>
        </w:rPr>
      </w:pPr>
    </w:p>
    <w:sectPr w:rsidR="00A06A67" w:rsidRPr="00D20B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3BE5"/>
    <w:multiLevelType w:val="hybridMultilevel"/>
    <w:tmpl w:val="1616A11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6518C2"/>
    <w:multiLevelType w:val="hybridMultilevel"/>
    <w:tmpl w:val="F6189F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3464B6F"/>
    <w:multiLevelType w:val="hybridMultilevel"/>
    <w:tmpl w:val="7096A5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972EEC"/>
    <w:multiLevelType w:val="hybridMultilevel"/>
    <w:tmpl w:val="802C97C6"/>
    <w:lvl w:ilvl="0" w:tplc="20000001">
      <w:start w:val="1"/>
      <w:numFmt w:val="bullet"/>
      <w:lvlText w:val=""/>
      <w:lvlJc w:val="left"/>
      <w:pPr>
        <w:ind w:left="947" w:hanging="360"/>
      </w:pPr>
      <w:rPr>
        <w:rFonts w:ascii="Symbol" w:hAnsi="Symbol" w:hint="default"/>
      </w:rPr>
    </w:lvl>
    <w:lvl w:ilvl="1" w:tplc="20000003" w:tentative="1">
      <w:start w:val="1"/>
      <w:numFmt w:val="bullet"/>
      <w:lvlText w:val="o"/>
      <w:lvlJc w:val="left"/>
      <w:pPr>
        <w:ind w:left="1667" w:hanging="360"/>
      </w:pPr>
      <w:rPr>
        <w:rFonts w:ascii="Courier New" w:hAnsi="Courier New" w:cs="Courier New" w:hint="default"/>
      </w:rPr>
    </w:lvl>
    <w:lvl w:ilvl="2" w:tplc="20000005" w:tentative="1">
      <w:start w:val="1"/>
      <w:numFmt w:val="bullet"/>
      <w:lvlText w:val=""/>
      <w:lvlJc w:val="left"/>
      <w:pPr>
        <w:ind w:left="2387" w:hanging="360"/>
      </w:pPr>
      <w:rPr>
        <w:rFonts w:ascii="Wingdings" w:hAnsi="Wingdings" w:hint="default"/>
      </w:rPr>
    </w:lvl>
    <w:lvl w:ilvl="3" w:tplc="20000001" w:tentative="1">
      <w:start w:val="1"/>
      <w:numFmt w:val="bullet"/>
      <w:lvlText w:val=""/>
      <w:lvlJc w:val="left"/>
      <w:pPr>
        <w:ind w:left="3107" w:hanging="360"/>
      </w:pPr>
      <w:rPr>
        <w:rFonts w:ascii="Symbol" w:hAnsi="Symbol" w:hint="default"/>
      </w:rPr>
    </w:lvl>
    <w:lvl w:ilvl="4" w:tplc="20000003" w:tentative="1">
      <w:start w:val="1"/>
      <w:numFmt w:val="bullet"/>
      <w:lvlText w:val="o"/>
      <w:lvlJc w:val="left"/>
      <w:pPr>
        <w:ind w:left="3827" w:hanging="360"/>
      </w:pPr>
      <w:rPr>
        <w:rFonts w:ascii="Courier New" w:hAnsi="Courier New" w:cs="Courier New" w:hint="default"/>
      </w:rPr>
    </w:lvl>
    <w:lvl w:ilvl="5" w:tplc="20000005" w:tentative="1">
      <w:start w:val="1"/>
      <w:numFmt w:val="bullet"/>
      <w:lvlText w:val=""/>
      <w:lvlJc w:val="left"/>
      <w:pPr>
        <w:ind w:left="4547" w:hanging="360"/>
      </w:pPr>
      <w:rPr>
        <w:rFonts w:ascii="Wingdings" w:hAnsi="Wingdings" w:hint="default"/>
      </w:rPr>
    </w:lvl>
    <w:lvl w:ilvl="6" w:tplc="20000001" w:tentative="1">
      <w:start w:val="1"/>
      <w:numFmt w:val="bullet"/>
      <w:lvlText w:val=""/>
      <w:lvlJc w:val="left"/>
      <w:pPr>
        <w:ind w:left="5267" w:hanging="360"/>
      </w:pPr>
      <w:rPr>
        <w:rFonts w:ascii="Symbol" w:hAnsi="Symbol" w:hint="default"/>
      </w:rPr>
    </w:lvl>
    <w:lvl w:ilvl="7" w:tplc="20000003" w:tentative="1">
      <w:start w:val="1"/>
      <w:numFmt w:val="bullet"/>
      <w:lvlText w:val="o"/>
      <w:lvlJc w:val="left"/>
      <w:pPr>
        <w:ind w:left="5987" w:hanging="360"/>
      </w:pPr>
      <w:rPr>
        <w:rFonts w:ascii="Courier New" w:hAnsi="Courier New" w:cs="Courier New" w:hint="default"/>
      </w:rPr>
    </w:lvl>
    <w:lvl w:ilvl="8" w:tplc="20000005" w:tentative="1">
      <w:start w:val="1"/>
      <w:numFmt w:val="bullet"/>
      <w:lvlText w:val=""/>
      <w:lvlJc w:val="left"/>
      <w:pPr>
        <w:ind w:left="6707" w:hanging="360"/>
      </w:pPr>
      <w:rPr>
        <w:rFonts w:ascii="Wingdings" w:hAnsi="Wingdings" w:hint="default"/>
      </w:rPr>
    </w:lvl>
  </w:abstractNum>
  <w:abstractNum w:abstractNumId="4" w15:restartNumberingAfterBreak="0">
    <w:nsid w:val="757717B1"/>
    <w:multiLevelType w:val="hybridMultilevel"/>
    <w:tmpl w:val="305C8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896812"/>
    <w:multiLevelType w:val="hybridMultilevel"/>
    <w:tmpl w:val="8B0A8C80"/>
    <w:lvl w:ilvl="0" w:tplc="20000001">
      <w:start w:val="1"/>
      <w:numFmt w:val="bullet"/>
      <w:lvlText w:val=""/>
      <w:lvlJc w:val="left"/>
      <w:pPr>
        <w:ind w:left="947" w:hanging="360"/>
      </w:pPr>
      <w:rPr>
        <w:rFonts w:ascii="Symbol" w:hAnsi="Symbol" w:hint="default"/>
      </w:rPr>
    </w:lvl>
    <w:lvl w:ilvl="1" w:tplc="20000003" w:tentative="1">
      <w:start w:val="1"/>
      <w:numFmt w:val="bullet"/>
      <w:lvlText w:val="o"/>
      <w:lvlJc w:val="left"/>
      <w:pPr>
        <w:ind w:left="1667" w:hanging="360"/>
      </w:pPr>
      <w:rPr>
        <w:rFonts w:ascii="Courier New" w:hAnsi="Courier New" w:cs="Courier New" w:hint="default"/>
      </w:rPr>
    </w:lvl>
    <w:lvl w:ilvl="2" w:tplc="20000005" w:tentative="1">
      <w:start w:val="1"/>
      <w:numFmt w:val="bullet"/>
      <w:lvlText w:val=""/>
      <w:lvlJc w:val="left"/>
      <w:pPr>
        <w:ind w:left="2387" w:hanging="360"/>
      </w:pPr>
      <w:rPr>
        <w:rFonts w:ascii="Wingdings" w:hAnsi="Wingdings" w:hint="default"/>
      </w:rPr>
    </w:lvl>
    <w:lvl w:ilvl="3" w:tplc="20000001" w:tentative="1">
      <w:start w:val="1"/>
      <w:numFmt w:val="bullet"/>
      <w:lvlText w:val=""/>
      <w:lvlJc w:val="left"/>
      <w:pPr>
        <w:ind w:left="3107" w:hanging="360"/>
      </w:pPr>
      <w:rPr>
        <w:rFonts w:ascii="Symbol" w:hAnsi="Symbol" w:hint="default"/>
      </w:rPr>
    </w:lvl>
    <w:lvl w:ilvl="4" w:tplc="20000003" w:tentative="1">
      <w:start w:val="1"/>
      <w:numFmt w:val="bullet"/>
      <w:lvlText w:val="o"/>
      <w:lvlJc w:val="left"/>
      <w:pPr>
        <w:ind w:left="3827" w:hanging="360"/>
      </w:pPr>
      <w:rPr>
        <w:rFonts w:ascii="Courier New" w:hAnsi="Courier New" w:cs="Courier New" w:hint="default"/>
      </w:rPr>
    </w:lvl>
    <w:lvl w:ilvl="5" w:tplc="20000005" w:tentative="1">
      <w:start w:val="1"/>
      <w:numFmt w:val="bullet"/>
      <w:lvlText w:val=""/>
      <w:lvlJc w:val="left"/>
      <w:pPr>
        <w:ind w:left="4547" w:hanging="360"/>
      </w:pPr>
      <w:rPr>
        <w:rFonts w:ascii="Wingdings" w:hAnsi="Wingdings" w:hint="default"/>
      </w:rPr>
    </w:lvl>
    <w:lvl w:ilvl="6" w:tplc="20000001" w:tentative="1">
      <w:start w:val="1"/>
      <w:numFmt w:val="bullet"/>
      <w:lvlText w:val=""/>
      <w:lvlJc w:val="left"/>
      <w:pPr>
        <w:ind w:left="5267" w:hanging="360"/>
      </w:pPr>
      <w:rPr>
        <w:rFonts w:ascii="Symbol" w:hAnsi="Symbol" w:hint="default"/>
      </w:rPr>
    </w:lvl>
    <w:lvl w:ilvl="7" w:tplc="20000003" w:tentative="1">
      <w:start w:val="1"/>
      <w:numFmt w:val="bullet"/>
      <w:lvlText w:val="o"/>
      <w:lvlJc w:val="left"/>
      <w:pPr>
        <w:ind w:left="5987" w:hanging="360"/>
      </w:pPr>
      <w:rPr>
        <w:rFonts w:ascii="Courier New" w:hAnsi="Courier New" w:cs="Courier New" w:hint="default"/>
      </w:rPr>
    </w:lvl>
    <w:lvl w:ilvl="8" w:tplc="20000005" w:tentative="1">
      <w:start w:val="1"/>
      <w:numFmt w:val="bullet"/>
      <w:lvlText w:val=""/>
      <w:lvlJc w:val="left"/>
      <w:pPr>
        <w:ind w:left="6707" w:hanging="360"/>
      </w:pPr>
      <w:rPr>
        <w:rFonts w:ascii="Wingdings" w:hAnsi="Wingdings" w:hint="default"/>
      </w:rPr>
    </w:lvl>
  </w:abstractNum>
  <w:num w:numId="1" w16cid:durableId="1419332661">
    <w:abstractNumId w:val="0"/>
  </w:num>
  <w:num w:numId="2" w16cid:durableId="671837620">
    <w:abstractNumId w:val="2"/>
  </w:num>
  <w:num w:numId="3" w16cid:durableId="1177772243">
    <w:abstractNumId w:val="5"/>
  </w:num>
  <w:num w:numId="4" w16cid:durableId="748498397">
    <w:abstractNumId w:val="3"/>
  </w:num>
  <w:num w:numId="5" w16cid:durableId="1703901198">
    <w:abstractNumId w:val="1"/>
  </w:num>
  <w:num w:numId="6" w16cid:durableId="5764826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01A"/>
    <w:rsid w:val="0002672C"/>
    <w:rsid w:val="00027DF8"/>
    <w:rsid w:val="000C7FB0"/>
    <w:rsid w:val="00125BBA"/>
    <w:rsid w:val="001358AE"/>
    <w:rsid w:val="00141502"/>
    <w:rsid w:val="00172FAD"/>
    <w:rsid w:val="001766EF"/>
    <w:rsid w:val="001828C6"/>
    <w:rsid w:val="00190230"/>
    <w:rsid w:val="00195739"/>
    <w:rsid w:val="001A2194"/>
    <w:rsid w:val="001B22CF"/>
    <w:rsid w:val="001B2D77"/>
    <w:rsid w:val="00256497"/>
    <w:rsid w:val="0029601A"/>
    <w:rsid w:val="002B4535"/>
    <w:rsid w:val="00325515"/>
    <w:rsid w:val="003D02D7"/>
    <w:rsid w:val="003D3078"/>
    <w:rsid w:val="003E35DD"/>
    <w:rsid w:val="0049127B"/>
    <w:rsid w:val="00493A1B"/>
    <w:rsid w:val="004C7080"/>
    <w:rsid w:val="00560A21"/>
    <w:rsid w:val="005728D9"/>
    <w:rsid w:val="005B2BC3"/>
    <w:rsid w:val="005F089B"/>
    <w:rsid w:val="006166A4"/>
    <w:rsid w:val="00637E62"/>
    <w:rsid w:val="0067012C"/>
    <w:rsid w:val="006801A5"/>
    <w:rsid w:val="006956DB"/>
    <w:rsid w:val="006E69C2"/>
    <w:rsid w:val="006F2DAF"/>
    <w:rsid w:val="00715921"/>
    <w:rsid w:val="0072317D"/>
    <w:rsid w:val="00736840"/>
    <w:rsid w:val="007507DE"/>
    <w:rsid w:val="007724D0"/>
    <w:rsid w:val="007F14A8"/>
    <w:rsid w:val="007F2ECC"/>
    <w:rsid w:val="008B40C1"/>
    <w:rsid w:val="009755BD"/>
    <w:rsid w:val="009D3DAC"/>
    <w:rsid w:val="009D65E3"/>
    <w:rsid w:val="009E53D0"/>
    <w:rsid w:val="00A06A67"/>
    <w:rsid w:val="00A87F00"/>
    <w:rsid w:val="00AC33C8"/>
    <w:rsid w:val="00B362F8"/>
    <w:rsid w:val="00BB5278"/>
    <w:rsid w:val="00BF02E7"/>
    <w:rsid w:val="00BF1628"/>
    <w:rsid w:val="00C8307D"/>
    <w:rsid w:val="00D20BC1"/>
    <w:rsid w:val="00D35AD5"/>
    <w:rsid w:val="00D463F0"/>
    <w:rsid w:val="00D667BF"/>
    <w:rsid w:val="00F31943"/>
    <w:rsid w:val="00FE23CA"/>
    <w:rsid w:val="00FF5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A2E19"/>
  <w15:chartTrackingRefBased/>
  <w15:docId w15:val="{EFF57144-7DDE-4056-B056-2DC2DB10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9601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29601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29601A"/>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29601A"/>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29601A"/>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29601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9601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9601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9601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601A"/>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29601A"/>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29601A"/>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29601A"/>
    <w:rPr>
      <w:rFonts w:eastAsiaTheme="majorEastAsia" w:cstheme="majorBidi"/>
      <w:i/>
      <w:iCs/>
      <w:color w:val="2E74B5" w:themeColor="accent1" w:themeShade="BF"/>
    </w:rPr>
  </w:style>
  <w:style w:type="character" w:customStyle="1" w:styleId="50">
    <w:name w:val="Заголовок 5 Знак"/>
    <w:basedOn w:val="a0"/>
    <w:link w:val="5"/>
    <w:uiPriority w:val="9"/>
    <w:semiHidden/>
    <w:rsid w:val="0029601A"/>
    <w:rPr>
      <w:rFonts w:eastAsiaTheme="majorEastAsia" w:cstheme="majorBidi"/>
      <w:color w:val="2E74B5" w:themeColor="accent1" w:themeShade="BF"/>
    </w:rPr>
  </w:style>
  <w:style w:type="character" w:customStyle="1" w:styleId="60">
    <w:name w:val="Заголовок 6 Знак"/>
    <w:basedOn w:val="a0"/>
    <w:link w:val="6"/>
    <w:uiPriority w:val="9"/>
    <w:semiHidden/>
    <w:rsid w:val="0029601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9601A"/>
    <w:rPr>
      <w:rFonts w:eastAsiaTheme="majorEastAsia" w:cstheme="majorBidi"/>
      <w:color w:val="595959" w:themeColor="text1" w:themeTint="A6"/>
    </w:rPr>
  </w:style>
  <w:style w:type="character" w:customStyle="1" w:styleId="80">
    <w:name w:val="Заголовок 8 Знак"/>
    <w:basedOn w:val="a0"/>
    <w:link w:val="8"/>
    <w:uiPriority w:val="9"/>
    <w:semiHidden/>
    <w:rsid w:val="0029601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9601A"/>
    <w:rPr>
      <w:rFonts w:eastAsiaTheme="majorEastAsia" w:cstheme="majorBidi"/>
      <w:color w:val="272727" w:themeColor="text1" w:themeTint="D8"/>
    </w:rPr>
  </w:style>
  <w:style w:type="paragraph" w:styleId="a3">
    <w:name w:val="Title"/>
    <w:basedOn w:val="a"/>
    <w:next w:val="a"/>
    <w:link w:val="a4"/>
    <w:uiPriority w:val="10"/>
    <w:qFormat/>
    <w:rsid w:val="002960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960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601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9601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9601A"/>
    <w:pPr>
      <w:spacing w:before="160"/>
      <w:jc w:val="center"/>
    </w:pPr>
    <w:rPr>
      <w:i/>
      <w:iCs/>
      <w:color w:val="404040" w:themeColor="text1" w:themeTint="BF"/>
    </w:rPr>
  </w:style>
  <w:style w:type="character" w:customStyle="1" w:styleId="22">
    <w:name w:val="Цитата 2 Знак"/>
    <w:basedOn w:val="a0"/>
    <w:link w:val="21"/>
    <w:uiPriority w:val="29"/>
    <w:rsid w:val="0029601A"/>
    <w:rPr>
      <w:i/>
      <w:iCs/>
      <w:color w:val="404040" w:themeColor="text1" w:themeTint="BF"/>
    </w:rPr>
  </w:style>
  <w:style w:type="paragraph" w:styleId="a7">
    <w:name w:val="List Paragraph"/>
    <w:basedOn w:val="a"/>
    <w:uiPriority w:val="1"/>
    <w:qFormat/>
    <w:rsid w:val="0029601A"/>
    <w:pPr>
      <w:ind w:left="720"/>
      <w:contextualSpacing/>
    </w:pPr>
  </w:style>
  <w:style w:type="character" w:styleId="a8">
    <w:name w:val="Intense Emphasis"/>
    <w:basedOn w:val="a0"/>
    <w:uiPriority w:val="21"/>
    <w:qFormat/>
    <w:rsid w:val="0029601A"/>
    <w:rPr>
      <w:i/>
      <w:iCs/>
      <w:color w:val="2E74B5" w:themeColor="accent1" w:themeShade="BF"/>
    </w:rPr>
  </w:style>
  <w:style w:type="paragraph" w:styleId="a9">
    <w:name w:val="Intense Quote"/>
    <w:basedOn w:val="a"/>
    <w:next w:val="a"/>
    <w:link w:val="aa"/>
    <w:uiPriority w:val="30"/>
    <w:qFormat/>
    <w:rsid w:val="0029601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29601A"/>
    <w:rPr>
      <w:i/>
      <w:iCs/>
      <w:color w:val="2E74B5" w:themeColor="accent1" w:themeShade="BF"/>
    </w:rPr>
  </w:style>
  <w:style w:type="character" w:styleId="ab">
    <w:name w:val="Intense Reference"/>
    <w:basedOn w:val="a0"/>
    <w:uiPriority w:val="32"/>
    <w:qFormat/>
    <w:rsid w:val="0029601A"/>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6</Pages>
  <Words>1639</Words>
  <Characters>9345</Characters>
  <Application>Microsoft Office Word</Application>
  <DocSecurity>0</DocSecurity>
  <Lines>77</Lines>
  <Paragraphs>21</Paragraphs>
  <ScaleCrop>false</ScaleCrop>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Malika Muratova</dc:creator>
  <cp:keywords/>
  <dc:description/>
  <cp:lastModifiedBy>Vladislav Roslyakov</cp:lastModifiedBy>
  <cp:revision>55</cp:revision>
  <dcterms:created xsi:type="dcterms:W3CDTF">2025-04-16T07:50:00Z</dcterms:created>
  <dcterms:modified xsi:type="dcterms:W3CDTF">2025-04-17T04:51:00Z</dcterms:modified>
</cp:coreProperties>
</file>